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4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2675890</wp:posOffset>
            </wp:positionH>
            <wp:positionV relativeFrom="paragraph">
              <wp:posOffset>125095</wp:posOffset>
            </wp:positionV>
            <wp:extent cx="1790700" cy="15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37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2675890</wp:posOffset>
            </wp:positionH>
            <wp:positionV relativeFrom="paragraph">
              <wp:posOffset>150495</wp:posOffset>
            </wp:positionV>
            <wp:extent cx="1790700"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2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PURSUANT TO RULE 13a-16 OR 15d-16</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2675890</wp:posOffset>
            </wp:positionH>
            <wp:positionV relativeFrom="paragraph">
              <wp:posOffset>125730</wp:posOffset>
            </wp:positionV>
            <wp:extent cx="1790700"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38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For the month of August 2022</w:t>
      </w:r>
    </w:p>
    <w:p>
      <w:pPr>
        <w:spacing w:after="0" w:line="19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Commission File Number: 001-40851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2675890</wp:posOffset>
            </wp:positionH>
            <wp:positionV relativeFrom="paragraph">
              <wp:posOffset>137795</wp:posOffset>
            </wp:positionV>
            <wp:extent cx="1790700"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39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Procaps Group, S.A.</w:t>
      </w:r>
    </w:p>
    <w:p>
      <w:pPr>
        <w:spacing w:after="0" w:line="4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(Translation of registrant’s name in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2675890</wp:posOffset>
            </wp:positionH>
            <wp:positionV relativeFrom="paragraph">
              <wp:posOffset>125095</wp:posOffset>
            </wp:positionV>
            <wp:extent cx="1790700"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38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9 rue de Bitbourg, L-1273</w:t>
      </w:r>
    </w:p>
    <w:p>
      <w:pPr>
        <w:spacing w:after="0" w:line="2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Luxembourg</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Grand Duchy of Luxembourg</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R.C.S. Luxembourg: B253360</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Tel : +356 7995-6138</w:t>
      </w:r>
    </w:p>
    <w:p>
      <w:pPr>
        <w:spacing w:after="0" w:line="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2675890</wp:posOffset>
            </wp:positionH>
            <wp:positionV relativeFrom="paragraph">
              <wp:posOffset>140970</wp:posOffset>
            </wp:positionV>
            <wp:extent cx="179070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of Form 20-F or Form 40-F.</w:t>
      </w:r>
    </w:p>
    <w:p>
      <w:pPr>
        <w:spacing w:after="0" w:line="173" w:lineRule="exact"/>
        <w:rPr>
          <w:sz w:val="24"/>
          <w:szCs w:val="24"/>
          <w:color w:val="auto"/>
        </w:rPr>
      </w:pPr>
    </w:p>
    <w:p>
      <w:pPr>
        <w:jc w:val="center"/>
        <w:ind w:right="-139"/>
        <w:spacing w:after="0" w:line="184" w:lineRule="exact"/>
        <w:tabs>
          <w:tab w:leader="none" w:pos="420" w:val="left"/>
        </w:tabs>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5"/>
          <w:szCs w:val="15"/>
          <w:color w:val="auto"/>
        </w:rPr>
        <w:t xml:space="preserve">Form 40-F </w:t>
      </w:r>
      <w:r>
        <w:rPr>
          <w:rFonts w:ascii="MS PGothic" w:cs="MS PGothic" w:eastAsia="MS PGothic" w:hAnsi="MS PGothic"/>
          <w:sz w:val="15"/>
          <w:szCs w:val="15"/>
          <w:color w:val="auto"/>
        </w:rPr>
        <w:t>☐</w:t>
      </w:r>
    </w:p>
    <w:p>
      <w:pPr>
        <w:spacing w:after="0" w:line="198"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2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w:t>
      </w:r>
      <w:r>
        <w:rPr>
          <w:rFonts w:ascii="Times New Roman" w:cs="Times New Roman" w:eastAsia="Times New Roman" w:hAnsi="Times New Roman"/>
          <w:sz w:val="16"/>
          <w:szCs w:val="16"/>
          <w:color w:val="auto"/>
        </w:rPr>
        <w:t>: Regulation S-T Rule 101(b)(1) only permits the submission in paper of a Form 6-K if submitted solely to provide an attached annual report to security holders.</w:t>
      </w:r>
    </w:p>
    <w:p>
      <w:pPr>
        <w:spacing w:after="0" w:line="175"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22" w:lineRule="exact"/>
        <w:rPr>
          <w:sz w:val="24"/>
          <w:szCs w:val="24"/>
          <w:color w:val="auto"/>
        </w:rPr>
      </w:pPr>
    </w:p>
    <w:p>
      <w:pPr>
        <w:spacing w:after="0" w:line="257" w:lineRule="auto"/>
        <w:rPr>
          <w:sz w:val="20"/>
          <w:szCs w:val="20"/>
          <w:color w:val="auto"/>
        </w:rPr>
      </w:pPr>
      <w:r>
        <w:rPr>
          <w:rFonts w:ascii="Times New Roman" w:cs="Times New Roman" w:eastAsia="Times New Roman" w:hAnsi="Times New Roman"/>
          <w:sz w:val="16"/>
          <w:szCs w:val="16"/>
          <w:b w:val="1"/>
          <w:bCs w:val="1"/>
          <w:color w:val="auto"/>
        </w:rPr>
        <w:t>Note</w:t>
      </w:r>
      <w:r>
        <w:rPr>
          <w:rFonts w:ascii="Times New Roman" w:cs="Times New Roman" w:eastAsia="Times New Roman" w:hAnsi="Times New Roman"/>
          <w:sz w:val="16"/>
          <w:szCs w:val="16"/>
          <w:color w:val="auto"/>
        </w:rPr>
        <w:t>: Regulation S-T Rule 101(b)(7) only permits the submission in paper of a Form 6-K if submitted to furnish a report or other document that the registrant foreign private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714819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532130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20"/>
          </w:cols>
          <w:pgMar w:left="320" w:top="476" w:right="4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INFORMATION CONTAINED IN THIS REPORT ON FORM 6-K</w:t>
      </w:r>
    </w:p>
    <w:p>
      <w:pPr>
        <w:spacing w:after="0" w:line="200" w:lineRule="exact"/>
        <w:rPr>
          <w:sz w:val="20"/>
          <w:szCs w:val="20"/>
          <w:color w:val="auto"/>
        </w:rPr>
      </w:pPr>
    </w:p>
    <w:p>
      <w:pPr>
        <w:ind w:right="140" w:firstLine="287"/>
        <w:spacing w:after="0" w:line="280" w:lineRule="auto"/>
        <w:rPr>
          <w:sz w:val="20"/>
          <w:szCs w:val="20"/>
          <w:color w:val="auto"/>
        </w:rPr>
      </w:pPr>
      <w:r>
        <w:rPr>
          <w:rFonts w:ascii="Times New Roman" w:cs="Times New Roman" w:eastAsia="Times New Roman" w:hAnsi="Times New Roman"/>
          <w:sz w:val="16"/>
          <w:szCs w:val="16"/>
          <w:color w:val="auto"/>
        </w:rPr>
        <w:t>On August 31, 2022, Procaps Group, S.A. (the “</w:t>
      </w:r>
      <w:r>
        <w:rPr>
          <w:rFonts w:ascii="Times New Roman" w:cs="Times New Roman" w:eastAsia="Times New Roman" w:hAnsi="Times New Roman"/>
          <w:sz w:val="16"/>
          <w:szCs w:val="16"/>
          <w:u w:val="single" w:color="auto"/>
          <w:color w:val="auto"/>
        </w:rPr>
        <w:t>Company</w:t>
      </w:r>
      <w:r>
        <w:rPr>
          <w:rFonts w:ascii="Times New Roman" w:cs="Times New Roman" w:eastAsia="Times New Roman" w:hAnsi="Times New Roman"/>
          <w:sz w:val="16"/>
          <w:szCs w:val="16"/>
          <w:color w:val="auto"/>
        </w:rPr>
        <w:t>”) conducted a conference call and webcast to provide an update to investors on the Company’s financial results for the second quarter ended June 30, 2022 and the six months ended June 30, 2022.</w:t>
      </w:r>
    </w:p>
    <w:p>
      <w:pPr>
        <w:spacing w:after="0" w:line="14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 copy of the presentation is furnished as Exhibit 99.1 to this Report on Form 6-K and incorporated by reference herein.</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120" w:type="dxa"/>
            <w:vAlign w:val="bottom"/>
            <w:gridSpan w:val="4"/>
          </w:tcPr>
          <w:p>
            <w:pPr>
              <w:jc w:val="center"/>
              <w:ind w:right="1140"/>
              <w:spacing w:after="0"/>
              <w:rPr>
                <w:sz w:val="20"/>
                <w:szCs w:val="20"/>
                <w:color w:val="auto"/>
              </w:rPr>
            </w:pPr>
            <w:r>
              <w:rPr>
                <w:rFonts w:ascii="Times New Roman" w:cs="Times New Roman" w:eastAsia="Times New Roman" w:hAnsi="Times New Roman"/>
                <w:sz w:val="16"/>
                <w:szCs w:val="16"/>
                <w:b w:val="1"/>
                <w:bCs w:val="1"/>
                <w:color w:val="auto"/>
              </w:rPr>
              <w:t>Exhibit Index</w:t>
            </w:r>
          </w:p>
        </w:tc>
      </w:tr>
      <w:tr>
        <w:trPr>
          <w:trHeight w:val="380"/>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14"/>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024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Exhibit Title</w:t>
            </w:r>
          </w:p>
        </w:tc>
      </w:tr>
      <w:tr>
        <w:trPr>
          <w:trHeight w:val="171"/>
        </w:trPr>
        <w:tc>
          <w:tcPr>
            <w:tcW w:w="1020" w:type="dxa"/>
            <w:vAlign w:val="bottom"/>
            <w:tcBorders>
              <w:top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tcBorders>
              <w:top w:val="single" w:sz="8" w:color="CCEEFF"/>
            </w:tcBorders>
            <w:shd w:val="clear" w:color="auto" w:fill="CCEEFF"/>
          </w:tcPr>
          <w:p>
            <w:pPr>
              <w:spacing w:after="0"/>
              <w:rPr>
                <w:sz w:val="14"/>
                <w:szCs w:val="14"/>
                <w:color w:val="auto"/>
              </w:rPr>
            </w:pPr>
          </w:p>
        </w:tc>
        <w:tc>
          <w:tcPr>
            <w:tcW w:w="10120" w:type="dxa"/>
            <w:vAlign w:val="bottom"/>
            <w:tcBorders>
              <w:top w:val="single" w:sz="8" w:color="auto"/>
            </w:tcBorders>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Earnings Presentation of Procaps Group, S.A., dated August 31, 2022 – 2Q22 &amp; 1H22 Financial Results</w:t>
            </w:r>
          </w:p>
        </w:tc>
      </w:tr>
      <w:tr>
        <w:trPr>
          <w:trHeight w:val="601"/>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960" w:type="dxa"/>
            <w:vAlign w:val="bottom"/>
            <w:tcBorders>
              <w:top w:val="single" w:sz="8" w:color="0000EE"/>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6"/>
                <w:szCs w:val="16"/>
                <w:color w:val="auto"/>
              </w:rPr>
              <w:t>1</w:t>
            </w:r>
          </w:p>
        </w:tc>
        <w:tc>
          <w:tcPr>
            <w:tcW w:w="1680" w:type="dxa"/>
            <w:vAlign w:val="bottom"/>
            <w:tcBorders>
              <w:top w:val="single" w:sz="8" w:color="0000EE"/>
              <w:bottom w:val="single" w:sz="8" w:color="auto"/>
            </w:tcBorders>
          </w:tcPr>
          <w:p>
            <w:pPr>
              <w:spacing w:after="0"/>
              <w:rPr>
                <w:sz w:val="24"/>
                <w:szCs w:val="24"/>
                <w:color w:val="auto"/>
              </w:rPr>
            </w:pPr>
          </w:p>
        </w:tc>
        <w:tc>
          <w:tcPr>
            <w:tcW w:w="34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60"/>
          </w:cols>
          <w:pgMar w:left="320" w:top="81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00" w:lineRule="exact"/>
        <w:rPr>
          <w:sz w:val="20"/>
          <w:szCs w:val="20"/>
          <w:color w:val="auto"/>
        </w:rPr>
      </w:pPr>
    </w:p>
    <w:p>
      <w:pPr>
        <w:ind w:right="60" w:firstLine="287"/>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color w:val="auto"/>
        </w:rPr>
        <w:t>PROCAPS GROUP, S.A.</w:t>
      </w:r>
    </w:p>
    <w:p>
      <w:pPr>
        <w:spacing w:after="0" w:line="198" w:lineRule="exact"/>
        <w:rPr>
          <w:sz w:val="20"/>
          <w:szCs w:val="20"/>
          <w:color w:val="auto"/>
        </w:rPr>
      </w:pPr>
    </w:p>
    <w:tbl>
      <w:tblPr>
        <w:tblLayout w:type="fixed"/>
        <w:tblInd w:w="6760" w:type="dxa"/>
        <w:tblCellMar>
          <w:top w:w="0" w:type="dxa"/>
          <w:left w:w="0" w:type="dxa"/>
          <w:bottom w:w="0" w:type="dxa"/>
          <w:right w:w="0" w:type="dxa"/>
        </w:tblCellMar>
      </w:tblPr>
      <w:tr>
        <w:trPr>
          <w:trHeight w:val="212"/>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 Ruben Minski</w:t>
            </w:r>
          </w:p>
        </w:tc>
      </w:tr>
      <w:tr>
        <w:trPr>
          <w:trHeight w:val="175"/>
        </w:trPr>
        <w:tc>
          <w:tcPr>
            <w:tcW w:w="56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Name:</w:t>
            </w: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Ruben Minski</w:t>
            </w:r>
          </w:p>
        </w:tc>
      </w:tr>
      <w:tr>
        <w:trPr>
          <w:trHeight w:val="208"/>
        </w:trPr>
        <w:tc>
          <w:tcPr>
            <w:tcW w:w="56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Executive Officer</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Dated: August 31, 2022</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3" w:name="page4"/>
    <w:bookmarkEnd w:id="3"/>
    <w:p>
      <w:pPr>
        <w:ind w:left="9300"/>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4196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1960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1960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1960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1960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1960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196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196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196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1960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1960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1960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1960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1960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1960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1960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1960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203440" cy="41960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3440" cy="41960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2022-08-31T11:03:04Z</dcterms:created>
  <dcterms:modified xsi:type="dcterms:W3CDTF">2022-08-31T11:03:04Z</dcterms:modified>
</cp:coreProperties>
</file>