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Vial Claro Manuel Jose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11600 MIRAMAR PARKWAY, SUITE 300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MIRAMAR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Sofgen Pharma S.A.</w:t>
              </w:r>
            </w:hyperlink>
            <w:r>
              <w:rPr/>
              <w:t xml:space="preserve"> [ </w:t>
            </w:r>
            <w:r>
              <w:rPr>
                <w:rFonts w:ascii="Times;serif" w:hAnsi="Times;serif"/>
                <w:color w:val="0000FF"/>
                <w:sz w:val="24"/>
                <w:shd w:fill="FFFFFF" w:val="clear"/>
              </w:rPr>
              <w:t>PROC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Freddy Andres Lozano Reyes,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4" w:right="0" w:hanging="0"/>
        <w:jc w:val="right"/>
        <w:rPr>
          <w:rFonts w:ascii="Times New Roman;Times;Serif" w:hAnsi="Times New Roman;Times;Serif"/>
          <w:b/>
          <w:i w:val="false"/>
          <w:caps w:val="false"/>
          <w:smallCaps w:val="false"/>
          <w:sz w:val="20"/>
        </w:rPr>
      </w:pPr>
      <w:bookmarkStart w:id="2" w:name="ea028358802ex24.htm"/>
      <w:bookmarkStart w:id="3" w:name="ksea028358802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Manuel José Vial Claro (the “</w:t>
      </w:r>
      <w:r>
        <w:rPr>
          <w:rFonts w:ascii="Times New Roman;Times;Serif" w:hAnsi="Times New Roman;Times;Serif"/>
          <w:b/>
          <w:i w:val="false"/>
          <w:caps w:val="false"/>
          <w:smallCaps w:val="false"/>
          <w:sz w:val="20"/>
        </w:rPr>
        <w:t>Grantor</w:t>
      </w:r>
      <w:r>
        <w:rPr>
          <w:rFonts w:ascii="Times New Roman;Times;Serif" w:hAnsi="Times New Roman;Times;Serif"/>
          <w:b w:val="false"/>
          <w:i w:val="false"/>
          <w:caps w:val="false"/>
          <w:smallCaps w:val="false"/>
          <w:sz w:val="20"/>
        </w:rPr>
        <w:t>”).</w:t>
      </w:r>
    </w:p>
    <w:p>
      <w:pPr>
        <w:pStyle w:val="TextBody"/>
        <w:bidi w:val="0"/>
        <w:spacing w:before="0" w:after="0"/>
        <w:ind w:left="4" w:right="0" w:hanging="0"/>
        <w:jc w:val="both"/>
        <w:rPr>
          <w:caps w:val="false"/>
          <w:smallCaps w:val="false"/>
        </w:rPr>
      </w:pPr>
      <w:r>
        <w:rPr>
          <w:caps w:val="false"/>
          <w:smallCaps w:val="false"/>
        </w:rPr>
        <w:t> </w:t>
      </w:r>
    </w:p>
    <w:p>
      <w:pPr>
        <w:pStyle w:val="TextBody"/>
        <w:bidi w:val="0"/>
        <w:spacing w:before="0" w:after="0"/>
        <w:ind w:left="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 is a director and/or officer (as defined in Rule 16(a) and/or 16a-1(f)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of Sofgen Pharma S.A., a public limited liability company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governed by the laws of the Grand Duchy of Luxembourg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Act and United States Securities and Exchange Commission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rules require the filing of beneficial ownership and transaction reports on SEC Forms 3, 4 and 5 (collectively, the “</w:t>
      </w:r>
      <w:r>
        <w:rPr>
          <w:rFonts w:ascii="Times New Roman;Times;Serif" w:hAnsi="Times New Roman;Times;Serif"/>
          <w:b/>
          <w:i w:val="false"/>
          <w:caps w:val="false"/>
          <w:smallCaps w:val="false"/>
          <w:sz w:val="20"/>
        </w:rPr>
        <w:t>Section 16(a) Reports</w:t>
      </w:r>
      <w:r>
        <w:rPr>
          <w:rFonts w:ascii="Times New Roman;Times;Serif" w:hAnsi="Times New Roman;Times;Serif"/>
          <w:b w:val="false"/>
          <w:i w:val="false"/>
          <w:caps w:val="false"/>
          <w:smallCaps w:val="false"/>
          <w:sz w:val="20"/>
        </w:rPr>
        <w:t>”). Such filings must be made electronically through the SEC’s EDGAR system (including EDGAR Next).</w:t>
      </w:r>
    </w:p>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 therefore grants a special power of attorney, as broad and sufficient as required by law, in favor of (the, the “</w:t>
      </w:r>
      <w:r>
        <w:rPr>
          <w:rFonts w:ascii="Times New Roman;Times;Serif" w:hAnsi="Times New Roman;Times;Serif"/>
          <w:b/>
          <w:i w:val="false"/>
          <w:caps w:val="false"/>
          <w:smallCaps w:val="false"/>
          <w:sz w:val="20"/>
        </w:rPr>
        <w:t>Attorneys-in-Fact</w:t>
      </w:r>
      <w:r>
        <w:rPr>
          <w:rFonts w:ascii="Times New Roman;Times;Serif" w:hAnsi="Times New Roman;Times;Serif"/>
          <w:b w:val="false"/>
          <w:i w:val="false"/>
          <w:caps w:val="false"/>
          <w:smallCaps w:val="false"/>
          <w:sz w:val="20"/>
        </w:rPr>
        <w:t>”):</w:t>
      </w:r>
    </w:p>
    <w:p>
      <w:pPr>
        <w:pStyle w:val="TextBody"/>
        <w:bidi w:val="0"/>
        <w:spacing w:before="0" w:after="0"/>
        <w:ind w:left="1443"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4"/>
        <w:gridCol w:w="386"/>
        <w:gridCol w:w="9665"/>
      </w:tblGrid>
      <w:tr>
        <w:trPr/>
        <w:tc>
          <w:tcPr>
            <w:tcW w:w="1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María Alejandra Molina;</w:t>
            </w:r>
          </w:p>
        </w:tc>
      </w:tr>
    </w:tbl>
    <w:tbl>
      <w:tblPr>
        <w:tblW w:w="5000" w:type="pct"/>
        <w:jc w:val="left"/>
        <w:tblInd w:w="0" w:type="dxa"/>
        <w:tblLayout w:type="fixed"/>
        <w:tblCellMar>
          <w:top w:w="0" w:type="dxa"/>
          <w:left w:w="0" w:type="dxa"/>
          <w:bottom w:w="0" w:type="dxa"/>
          <w:right w:w="0" w:type="dxa"/>
        </w:tblCellMar>
      </w:tblPr>
      <w:tblGrid>
        <w:gridCol w:w="185"/>
        <w:gridCol w:w="464"/>
        <w:gridCol w:w="9556"/>
      </w:tblGrid>
      <w:tr>
        <w:trPr/>
        <w:tc>
          <w:tcPr>
            <w:tcW w:w="18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w:t>
            </w:r>
          </w:p>
        </w:tc>
        <w:tc>
          <w:tcPr>
            <w:tcW w:w="9556" w:type="dxa"/>
            <w:tcBorders/>
            <w:vAlign w:val="center"/>
          </w:tcPr>
          <w:p>
            <w:pPr>
              <w:pStyle w:val="TableContents"/>
              <w:bidi w:val="0"/>
              <w:spacing w:before="0" w:after="283"/>
              <w:jc w:val="left"/>
              <w:rPr/>
            </w:pPr>
            <w:r>
              <w:rPr/>
              <w:t>Freddy Lozano; and</w:t>
            </w:r>
          </w:p>
        </w:tc>
      </w:tr>
    </w:tbl>
    <w:tbl>
      <w:tblPr>
        <w:tblW w:w="5000" w:type="pct"/>
        <w:jc w:val="left"/>
        <w:tblInd w:w="0" w:type="dxa"/>
        <w:tblLayout w:type="fixed"/>
        <w:tblCellMar>
          <w:top w:w="0" w:type="dxa"/>
          <w:left w:w="0" w:type="dxa"/>
          <w:bottom w:w="0" w:type="dxa"/>
          <w:right w:w="0" w:type="dxa"/>
        </w:tblCellMar>
      </w:tblPr>
      <w:tblGrid>
        <w:gridCol w:w="245"/>
        <w:gridCol w:w="615"/>
        <w:gridCol w:w="9345"/>
      </w:tblGrid>
      <w:tr>
        <w:trPr/>
        <w:tc>
          <w:tcPr>
            <w:tcW w:w="2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w:t>
            </w:r>
          </w:p>
        </w:tc>
        <w:tc>
          <w:tcPr>
            <w:tcW w:w="9345" w:type="dxa"/>
            <w:tcBorders/>
            <w:vAlign w:val="center"/>
          </w:tcPr>
          <w:p>
            <w:pPr>
              <w:pStyle w:val="TableContents"/>
              <w:bidi w:val="0"/>
              <w:spacing w:before="0" w:after="283"/>
              <w:jc w:val="left"/>
              <w:rPr/>
            </w:pPr>
            <w:r>
              <w:rPr/>
              <w:t>Carlos Carazo.</w:t>
            </w:r>
          </w:p>
        </w:tc>
      </w:tr>
    </w:tbl>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any of them, individually, with full powers of substitution, may in the name and on behalf of the Grantor carry out the following acts:</w:t>
      </w:r>
    </w:p>
    <w:p>
      <w:pPr>
        <w:pStyle w:val="TextBody"/>
        <w:bidi w:val="0"/>
        <w:spacing w:before="0" w:after="0"/>
        <w:ind w:left="722" w:right="0" w:hanging="359"/>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20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425" w:type="dxa"/>
            <w:tcBorders/>
            <w:vAlign w:val="center"/>
          </w:tcPr>
          <w:p>
            <w:pPr>
              <w:pStyle w:val="TableContents"/>
              <w:bidi w:val="0"/>
              <w:spacing w:before="0" w:after="283"/>
              <w:jc w:val="both"/>
              <w:rPr/>
            </w:pPr>
            <w:r>
              <w:rPr/>
              <w:t>Obtain and manage EDGAR/EDGAR Next credentials and access.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0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4115" w:type="dxa"/>
            <w:tcBorders/>
            <w:vAlign w:val="center"/>
          </w:tcPr>
          <w:p>
            <w:pPr>
              <w:pStyle w:val="TableContents"/>
              <w:bidi w:val="0"/>
              <w:spacing w:before="0" w:after="283"/>
              <w:jc w:val="both"/>
              <w:rPr/>
            </w:pPr>
            <w:r>
              <w:rPr/>
              <w:t>Prepare and execute Section 16(a) Reports.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pStyle w:val="TextBody"/>
        <w:bidi w:val="0"/>
        <w:spacing w:before="0" w:after="0"/>
        <w:ind w:left="0" w:right="0" w:hanging="0"/>
        <w:jc w:val="left"/>
        <w:rPr>
          <w:caps w:val="false"/>
          <w:smallCaps w:val="false"/>
        </w:rPr>
      </w:pPr>
      <w:r>
        <w:rPr>
          <w:caps w:val="false"/>
          <w:smallCaps w:val="false"/>
        </w:rPr>
        <w:t> </w:t>
      </w:r>
    </w:p>
    <w:tbl>
      <w:tblPr>
        <w:tblW w:w="4353" w:type="dxa"/>
        <w:jc w:val="left"/>
        <w:tblInd w:w="0" w:type="dxa"/>
        <w:tblLayout w:type="fixed"/>
        <w:tblCellMar>
          <w:top w:w="0" w:type="dxa"/>
          <w:left w:w="0" w:type="dxa"/>
          <w:bottom w:w="0" w:type="dxa"/>
          <w:right w:w="0" w:type="dxa"/>
        </w:tblCellMar>
      </w:tblPr>
      <w:tblGrid>
        <w:gridCol w:w="38"/>
        <w:gridCol w:w="20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4115" w:type="dxa"/>
            <w:tcBorders/>
            <w:vAlign w:val="center"/>
          </w:tcPr>
          <w:p>
            <w:pPr>
              <w:pStyle w:val="TableContents"/>
              <w:bidi w:val="0"/>
              <w:spacing w:before="0" w:after="283"/>
              <w:jc w:val="both"/>
              <w:rPr/>
            </w:pPr>
            <w:r>
              <w:rPr/>
              <w:t>Submit filings via EDGAR/EDGAR Next.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transmit and file (or cause to be filed) any Section 16(a) Reports through EDGAR/EDGAR Next, and take any and all actions necessary, advisable or appropriate to effect such filings in a timely manner;</w:t>
      </w:r>
    </w:p>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0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4760" w:type="dxa"/>
            <w:tcBorders/>
            <w:vAlign w:val="center"/>
          </w:tcPr>
          <w:p>
            <w:pPr>
              <w:pStyle w:val="TableContents"/>
              <w:bidi w:val="0"/>
              <w:spacing w:before="0" w:after="283"/>
              <w:jc w:val="both"/>
              <w:rPr/>
            </w:pPr>
            <w:r>
              <w:rPr/>
              <w:t>Communications with SEC and service providers.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pStyle w:val="TextBody"/>
        <w:bidi w:val="0"/>
        <w:spacing w:before="0" w:after="0"/>
        <w:ind w:left="0" w:right="0" w:hanging="0"/>
        <w:jc w:val="left"/>
        <w:rPr>
          <w:caps w:val="false"/>
          <w:smallCaps w:val="false"/>
        </w:rPr>
      </w:pPr>
      <w:r>
        <w:rPr>
          <w:caps w:val="false"/>
          <w:smallCaps w:val="false"/>
        </w:rPr>
        <w:t> </w:t>
      </w:r>
    </w:p>
    <w:tbl>
      <w:tblPr>
        <w:tblW w:w="1983" w:type="dxa"/>
        <w:jc w:val="left"/>
        <w:tblInd w:w="0" w:type="dxa"/>
        <w:tblLayout w:type="fixed"/>
        <w:tblCellMar>
          <w:top w:w="0" w:type="dxa"/>
          <w:left w:w="0" w:type="dxa"/>
          <w:bottom w:w="0" w:type="dxa"/>
          <w:right w:w="0" w:type="dxa"/>
        </w:tblCellMar>
      </w:tblPr>
      <w:tblGrid>
        <w:gridCol w:w="38"/>
        <w:gridCol w:w="20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745" w:type="dxa"/>
            <w:tcBorders/>
            <w:vAlign w:val="center"/>
          </w:tcPr>
          <w:p>
            <w:pPr>
              <w:pStyle w:val="TableContents"/>
              <w:bidi w:val="0"/>
              <w:spacing w:before="0" w:after="283"/>
              <w:jc w:val="both"/>
              <w:rPr/>
            </w:pPr>
            <w:r>
              <w:rPr/>
              <w:t>Incidental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pStyle w:val="TextBody"/>
        <w:bidi w:val="0"/>
        <w:spacing w:before="0" w:after="0"/>
        <w:ind w:left="3" w:right="0" w:hanging="0"/>
        <w:jc w:val="left"/>
        <w:rPr>
          <w:caps w:val="false"/>
          <w:smallCaps w:val="false"/>
        </w:rPr>
      </w:pPr>
      <w:r>
        <w:rPr>
          <w:caps w:val="false"/>
          <w:smallCaps w:val="false"/>
        </w:rPr>
        <w:t> </w:t>
      </w:r>
    </w:p>
    <w:p>
      <w:pPr>
        <w:pStyle w:val="TextBody"/>
        <w:bidi w:val="0"/>
        <w:spacing w:before="0" w:after="0"/>
        <w:ind w:left="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Grantor acknowledges and agrees that:</w:t>
      </w:r>
    </w:p>
    <w:p>
      <w:pPr>
        <w:pStyle w:val="TextBody"/>
        <w:bidi w:val="0"/>
        <w:spacing w:before="0" w:after="0"/>
        <w:ind w:left="72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this power of attorney authorizes, but does not require, any Attorney-in-Fact to act, and each Attorney-in-Fact may act in his or her discretion on information provided to such Attorney-in-Fact without independent verification;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this power of attorney does not relieve the Grantor from responsibility for compliance with the Grantor’s obligations under the Exchange Act, including the reporting requirements under Section 16(a) and the rules and regulations thereunder;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(d)</w:t>
            </w:r>
          </w:p>
        </w:tc>
        <w:tc>
          <w:tcPr>
            <w:tcW w:w="9920" w:type="dxa"/>
            <w:tcBorders/>
            <w:vAlign w:val="center"/>
          </w:tcPr>
          <w:p>
            <w:pPr>
              <w:pStyle w:val="TableContents"/>
              <w:bidi w:val="0"/>
              <w:spacing w:before="0" w:after="283"/>
              <w:jc w:val="both"/>
              <w:rPr/>
            </w:pPr>
            <w:r>
              <w:rPr/>
              <w:t>none of the Company or any Attorney-in-Fact assumes any liability for the Grantor’s responsibility to comply with the requirements of the Exchange Act or for any failure by the Grantor to comply with such requirements.</w:t>
            </w:r>
          </w:p>
        </w:tc>
      </w:tr>
    </w:tbl>
    <w:p>
      <w:pPr>
        <w:pStyle w:val="TextBody"/>
        <w:bidi w:val="0"/>
        <w:spacing w:before="0" w:after="0"/>
        <w:ind w:left="722" w:right="0" w:hanging="360"/>
        <w:jc w:val="both"/>
        <w:rPr>
          <w:caps w:val="false"/>
          <w:smallCaps w:val="false"/>
        </w:rPr>
      </w:pPr>
      <w:r>
        <w:rPr>
          <w:caps w:val="false"/>
          <w:smallCaps w:val="false"/>
        </w:rPr>
        <w:t>  </w:t>
      </w:r>
    </w:p>
    <w:p>
      <w:pPr>
        <w:pStyle w:val="TextBody"/>
        <w:bidi w:val="0"/>
        <w:spacing w:before="0" w:after="0"/>
        <w:ind w:left="722" w:right="0" w:hanging="36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2" w:right="0" w:hanging="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power of attorney has been duly executed on March [6], 2026.</w:t>
      </w:r>
    </w:p>
    <w:p>
      <w:pPr>
        <w:pStyle w:val="TextBody"/>
        <w:bidi w:val="0"/>
        <w:spacing w:before="0" w:after="0"/>
        <w:ind w:left="3"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pages of this power of attorney, from the first until this current page, are part of this Power of Attorney.</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335"/>
        <w:gridCol w:w="2345"/>
        <w:gridCol w:w="75"/>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Manuel José Vial Claro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Manuel José Vial Claro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 xml:space="preserve">STATE OF FLORIDA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sz w:val="20"/>
              </w:rPr>
            </w:pPr>
            <w:r>
              <w:rPr>
                <w:sz w:val="20"/>
              </w:rPr>
              <w:t>COUNTY OF MIAMI-DADE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Sworn to and subscribed before me by means of [__] physical presence or [x] online notarization, this 6th day of March 2026, by Manuel Vial Claro</w:t>
      </w:r>
    </w:p>
    <w:p>
      <w:pPr>
        <w:pStyle w:val="TextBody"/>
        <w:bidi w:val="0"/>
        <w:spacing w:before="0" w:after="0"/>
        <w:ind w:left="3" w:right="0" w:firstLine="687"/>
        <w:jc w:val="left"/>
        <w:rPr>
          <w:caps w:val="false"/>
          <w:smallCaps w:val="false"/>
        </w:rPr>
      </w:pPr>
      <w:r>
        <w:rPr>
          <w:caps w:val="false"/>
          <w:smallCaps w:val="false"/>
        </w:rPr>
        <w:t> </w:t>
      </w:r>
    </w:p>
    <w:tbl>
      <w:tblPr>
        <w:tblW w:w="5119" w:type="dxa"/>
        <w:jc w:val="left"/>
        <w:tblInd w:w="0" w:type="dxa"/>
        <w:tblLayout w:type="fixed"/>
        <w:tblCellMar>
          <w:top w:w="0" w:type="dxa"/>
          <w:left w:w="0" w:type="dxa"/>
          <w:bottom w:w="28" w:type="dxa"/>
          <w:right w:w="0" w:type="dxa"/>
        </w:tblCellMar>
      </w:tblPr>
      <w:tblGrid>
        <w:gridCol w:w="4909"/>
        <w:gridCol w:w="210"/>
      </w:tblGrid>
      <w:tr>
        <w:trPr/>
        <w:tc>
          <w:tcPr>
            <w:tcW w:w="4909" w:type="dxa"/>
            <w:tcBorders>
              <w:bottom w:val="single" w:sz="12" w:space="0" w:color="000000"/>
            </w:tcBorders>
            <w:vAlign w:val="center"/>
          </w:tcPr>
          <w:p>
            <w:pPr>
              <w:pStyle w:val="TableContents"/>
              <w:bidi w:val="0"/>
              <w:spacing w:before="0" w:after="283"/>
              <w:jc w:val="left"/>
              <w:rPr>
                <w:sz w:val="20"/>
              </w:rPr>
            </w:pPr>
            <w:r>
              <w:rPr>
                <w:sz w:val="20"/>
              </w:rPr>
              <w:t>/s/ Elizabeth Collazo</w:t>
            </w:r>
          </w:p>
        </w:tc>
        <w:tc>
          <w:tcPr>
            <w:tcW w:w="210" w:type="dxa"/>
            <w:tcBorders/>
            <w:tcMar>
              <w:bottom w:w="0" w:type="dxa"/>
            </w:tcMar>
            <w:vAlign w:val="center"/>
          </w:tcPr>
          <w:p>
            <w:pPr>
              <w:pStyle w:val="TableContents"/>
              <w:bidi w:val="0"/>
              <w:spacing w:before="0" w:after="283"/>
              <w:jc w:val="left"/>
              <w:rPr/>
            </w:pPr>
            <w:r>
              <w:rPr/>
              <w:t> </w:t>
            </w:r>
          </w:p>
        </w:tc>
      </w:tr>
      <w:tr>
        <w:trPr/>
        <w:tc>
          <w:tcPr>
            <w:tcW w:w="5119" w:type="dxa"/>
            <w:gridSpan w:val="2"/>
            <w:tcBorders/>
            <w:tcMar>
              <w:bottom w:w="0" w:type="dxa"/>
            </w:tcMar>
            <w:vAlign w:val="center"/>
          </w:tcPr>
          <w:p>
            <w:pPr>
              <w:pStyle w:val="TableContents"/>
              <w:bidi w:val="0"/>
              <w:spacing w:before="0" w:after="283"/>
              <w:jc w:val="left"/>
              <w:rPr>
                <w:sz w:val="20"/>
              </w:rPr>
            </w:pPr>
            <w:r>
              <w:rPr>
                <w:sz w:val="20"/>
              </w:rPr>
              <w:t>(NOTARY SEAL) (Signature of Notary Public-State of Florida)</w:t>
            </w:r>
          </w:p>
        </w:tc>
      </w:tr>
    </w:tbl>
    <w:p>
      <w:pPr>
        <w:pStyle w:val="TextBody"/>
        <w:bidi w:val="0"/>
        <w:spacing w:before="0" w:after="0"/>
        <w:ind w:left="3" w:right="0" w:firstLine="687"/>
        <w:jc w:val="left"/>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COLLAZO)</w:t>
      </w:r>
    </w:p>
    <w:p>
      <w:pPr>
        <w:pStyle w:val="TextBody"/>
        <w:bidi w:val="0"/>
        <w:spacing w:before="0" w:after="0"/>
        <w:ind w:left="3" w:right="0" w:hanging="0"/>
        <w:jc w:val="both"/>
        <w:rPr>
          <w:caps w:val="false"/>
          <w:smallCaps w:val="false"/>
        </w:rPr>
      </w:pPr>
      <w:r>
        <w:rPr>
          <w:caps w:val="false"/>
          <w:smallCaps w:val="false"/>
        </w:rPr>
        <w:t> </w:t>
      </w:r>
    </w:p>
    <w:p>
      <w:pPr>
        <w:pStyle w:val="TextBody"/>
        <w:bidi w:val="0"/>
        <w:spacing w:before="0" w:after="0"/>
        <w:ind w:left="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Personally Known ___ OR Produced Identification X--</w:t>
      </w:r>
    </w:p>
    <w:p>
      <w:pPr>
        <w:pStyle w:val="TextBody"/>
        <w:bidi w:val="0"/>
        <w:spacing w:before="0" w:after="0"/>
        <w:ind w:left="4" w:right="0" w:hanging="0"/>
        <w:jc w:val="left"/>
        <w:rPr>
          <w:caps w:val="false"/>
          <w:smallCaps w:val="false"/>
        </w:rPr>
      </w:pPr>
      <w:r>
        <w:rPr>
          <w:caps w:val="false"/>
          <w:smallCaps w:val="false"/>
        </w:rPr>
        <w:t> </w:t>
      </w:r>
    </w:p>
    <w:p>
      <w:pPr>
        <w:pStyle w:val="TextBody"/>
        <w:bidi w:val="0"/>
        <w:spacing w:before="0" w:after="0"/>
        <w:ind w:left="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Identification Produced __</w:t>
      </w:r>
      <w:r>
        <w:rPr>
          <w:rFonts w:ascii="Times New Roman;Times;Serif" w:hAnsi="Times New Roman;Times;Serif"/>
          <w:b w:val="false"/>
          <w:i w:val="false"/>
          <w:caps w:val="false"/>
          <w:smallCaps w:val="false"/>
          <w:sz w:val="20"/>
          <w:u w:val="single"/>
        </w:rPr>
        <w:t>Passport</w:t>
      </w:r>
      <w:r>
        <w:rPr>
          <w:rFonts w:ascii="Times New Roman;Times;Serif" w:hAnsi="Times New Roman;Times;Serif"/>
          <w:b w:val="false"/>
          <w:i w:val="false"/>
          <w:caps w:val="false"/>
          <w:smallCaps w:val="false"/>
          <w:sz w:val="20"/>
        </w:rPr>
        <w:t>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114800" cy="1562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4114800" cy="15621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4212" TargetMode="External"/><Relationship Id="rId3" Type="http://schemas.openxmlformats.org/officeDocument/2006/relationships/hyperlink" Target="http://www.sec.gov/cgi-bin/browse-edgar?action=getcompany&amp;CIK=000186336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1230</Words>
  <Characters>6955</Characters>
  <CharactersWithSpaces>8147</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