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57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5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jc w:val="center"/>
              <w:ind w:right="26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Manieu Alexandre Weinstein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Sofgen Pharma S.A.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PROC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APT 8002, BURGENSTOCK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HOTELS &amp; RESORT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BURGENSTOCK 3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OBBURGEN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6363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3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Ownership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626,495,816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Hoche Partners Pharma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Holdings LLC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56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   2. Date Exercisable and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Hoche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Warrant to Purchase Ordinary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04/09/2025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04/09/2035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79,201,647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0.0631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Pharma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LLC</w:t>
      </w:r>
      <w:r>
        <w:rPr>
          <w:rFonts w:ascii="Times New Roman" w:cs="Times New Roman" w:eastAsia="Times New Roman" w:hAnsi="Times New Roman"/>
          <w:sz w:val="25"/>
          <w:szCs w:val="25"/>
          <w:color w:val="008000"/>
          <w:vertAlign w:val="superscript"/>
        </w:rPr>
        <w:t>(2)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Ordinary Shares beneficially owned by Hoche Partners Pharma Holdings LLC ("Hoche"), an entity controlled by Mr. Weinstein.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a warrant to purchase Ordinary Shares beneficially owned by Hoche, an entity controlled by Mr. Weinstein.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Alexandre Weinstein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Manieu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833124" TargetMode="External"/><Relationship Id="rId11" Type="http://schemas.openxmlformats.org/officeDocument/2006/relationships/hyperlink" Target="http://www.sec.gov/cgi-bin/browse-edgar?action=getcompany&amp;CIK=0001863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2026-03-19T06:41:28Z</dcterms:created>
  <dcterms:modified xsi:type="dcterms:W3CDTF">2026-03-19T06:41:28Z</dcterms:modified>
</cp:coreProperties>
</file>