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20-F/A</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9" w:lineRule="exact"/>
        <w:rPr>
          <w:sz w:val="24"/>
          <w:szCs w:val="24"/>
          <w:color w:val="auto"/>
        </w:rPr>
      </w:pPr>
    </w:p>
    <w:p>
      <w:pPr>
        <w:ind w:left="2520" w:hanging="186"/>
        <w:spacing w:after="0"/>
        <w:tabs>
          <w:tab w:leader="none" w:pos="25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(g) of the Securities Exchange Act of 1934</w:t>
      </w:r>
    </w:p>
    <w:p>
      <w:pPr>
        <w:spacing w:after="0" w:line="198" w:lineRule="exact"/>
        <w:rPr>
          <w:sz w:val="24"/>
          <w:szCs w:val="24"/>
          <w:color w:val="auto"/>
        </w:rPr>
      </w:pPr>
    </w:p>
    <w:p>
      <w:pPr>
        <w:ind w:left="4080" w:right="2640" w:hanging="1458"/>
        <w:spacing w:after="0" w:line="481" w:lineRule="auto"/>
        <w:tabs>
          <w:tab w:leader="none" w:pos="2810" w:val="left"/>
        </w:tabs>
        <w:numPr>
          <w:ilvl w:val="2"/>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spacing w:after="0" w:line="27" w:lineRule="exact"/>
        <w:rPr>
          <w:rFonts w:ascii="MS PGothic" w:cs="MS PGothic" w:eastAsia="MS PGothic" w:hAnsi="MS PGothic"/>
          <w:sz w:val="16"/>
          <w:szCs w:val="16"/>
          <w:color w:val="auto"/>
        </w:rPr>
      </w:pPr>
    </w:p>
    <w:p>
      <w:pPr>
        <w:ind w:left="2700" w:hanging="179"/>
        <w:spacing w:after="0"/>
        <w:tabs>
          <w:tab w:leader="none" w:pos="2700" w:val="left"/>
        </w:tabs>
        <w:numPr>
          <w:ilvl w:val="1"/>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8" w:lineRule="exact"/>
        <w:rPr>
          <w:rFonts w:ascii="MS PGothic" w:cs="MS PGothic" w:eastAsia="MS PGothic" w:hAnsi="MS PGothic"/>
          <w:sz w:val="16"/>
          <w:szCs w:val="16"/>
          <w:color w:val="auto"/>
        </w:rPr>
      </w:pPr>
    </w:p>
    <w:p>
      <w:pPr>
        <w:jc w:val="center"/>
        <w:ind w:left="4420" w:right="2360" w:hanging="2066"/>
        <w:spacing w:after="0" w:line="498" w:lineRule="auto"/>
        <w:tabs>
          <w:tab w:leader="none" w:pos="2533"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 Commission file number 001-38354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PROCAPS GROUP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(Translation of Registrant’s name into English)</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Grand Duchy of Luxembourg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(Jurisdiction of incorporation or organization)</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 rue de Bitbourg, L-1273</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Luxembourg</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Grand Duchy of Luxembourg</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R.C.S. Luxembourg: B253360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 : +356 7995-6138</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247015</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or to be registered pursuant to Section 12(b) of the Act: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Title of each class</w:t>
            </w:r>
          </w:p>
        </w:tc>
        <w:tc>
          <w:tcPr>
            <w:tcW w:w="3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Trading Symbol</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in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Ordinary Shares, U.S.$0.01 nominal value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PROC</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204"/>
        </w:trPr>
        <w:tc>
          <w:tcPr>
            <w:tcW w:w="384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Warrants</w:t>
            </w:r>
          </w:p>
        </w:tc>
        <w:tc>
          <w:tcPr>
            <w:tcW w:w="38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PROCW</w:t>
            </w:r>
          </w:p>
        </w:tc>
        <w:tc>
          <w:tcPr>
            <w:tcW w:w="3600" w:type="dxa"/>
            <w:vAlign w:val="bottom"/>
          </w:tcPr>
          <w:p>
            <w:pPr>
              <w:jc w:val="center"/>
              <w:spacing w:after="0"/>
              <w:rPr>
                <w:sz w:val="20"/>
                <w:szCs w:val="20"/>
                <w:color w:val="auto"/>
              </w:rPr>
            </w:pPr>
            <w:r>
              <w:rPr>
                <w:rFonts w:ascii="Arial" w:cs="Arial" w:eastAsia="Arial" w:hAnsi="Arial"/>
                <w:sz w:val="16"/>
                <w:szCs w:val="16"/>
                <w:color w:val="auto"/>
                <w:w w:val="91"/>
              </w:rPr>
              <w:t>The Nasdaq Stock Market LLC</w:t>
            </w:r>
          </w:p>
        </w:tc>
      </w:tr>
    </w:tbl>
    <w:p>
      <w:pPr>
        <w:spacing w:after="0" w:line="16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Securities registered or to be registered pursuant to Section 12(g) of the Act: </w:t>
      </w:r>
      <w:r>
        <w:rPr>
          <w:rFonts w:ascii="Arial" w:cs="Arial" w:eastAsia="Arial" w:hAnsi="Arial"/>
          <w:sz w:val="16"/>
          <w:szCs w:val="16"/>
          <w:color w:val="auto"/>
        </w:rPr>
        <w:t>None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Securities for which there is a reporting obligation pursuant to Section 15(d) of the Act: </w:t>
      </w:r>
      <w:r>
        <w:rPr>
          <w:rFonts w:ascii="Arial" w:cs="Arial" w:eastAsia="Arial" w:hAnsi="Arial"/>
          <w:sz w:val="16"/>
          <w:szCs w:val="16"/>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198" w:lineRule="exact"/>
        <w:rPr>
          <w:sz w:val="24"/>
          <w:szCs w:val="24"/>
          <w:color w:val="auto"/>
        </w:rPr>
      </w:pPr>
    </w:p>
    <w:p>
      <w:pPr>
        <w:ind w:left="7700"/>
        <w:spacing w:after="0"/>
        <w:rPr>
          <w:sz w:val="20"/>
          <w:szCs w:val="20"/>
          <w:color w:val="auto"/>
        </w:rPr>
      </w:pPr>
      <w:r>
        <w:rPr>
          <w:rFonts w:ascii="Arial" w:cs="Arial" w:eastAsia="Arial" w:hAnsi="Arial"/>
          <w:sz w:val="14"/>
          <w:szCs w:val="14"/>
          <w:color w:val="auto"/>
        </w:rPr>
        <w:t>112,824,183 Ordinary Shares, as of December 31, 2021</w:t>
      </w:r>
    </w:p>
    <w:p>
      <w:pPr>
        <w:spacing w:after="0" w:line="43" w:lineRule="exact"/>
        <w:rPr>
          <w:sz w:val="24"/>
          <w:szCs w:val="24"/>
          <w:color w:val="auto"/>
        </w:rPr>
      </w:pPr>
    </w:p>
    <w:p>
      <w:pPr>
        <w:ind w:left="6400"/>
        <w:spacing w:after="0"/>
        <w:rPr>
          <w:sz w:val="20"/>
          <w:szCs w:val="20"/>
          <w:color w:val="auto"/>
        </w:rPr>
      </w:pPr>
      <w:r>
        <w:rPr>
          <w:rFonts w:ascii="Arial" w:cs="Arial" w:eastAsia="Arial" w:hAnsi="Arial"/>
          <w:sz w:val="14"/>
          <w:szCs w:val="14"/>
          <w:color w:val="auto"/>
        </w:rPr>
        <w:t>23,375,000 Warrants to purchase Ordinary Shares, as of December 31, 2021</w:t>
      </w:r>
    </w:p>
    <w:p>
      <w:pPr>
        <w:spacing w:after="0" w:line="179" w:lineRule="exact"/>
        <w:rPr>
          <w:sz w:val="24"/>
          <w:szCs w:val="24"/>
          <w:color w:val="auto"/>
        </w:rPr>
      </w:pPr>
    </w:p>
    <w:p>
      <w:pPr>
        <w:spacing w:after="0" w:line="184" w:lineRule="exact"/>
        <w:tabs>
          <w:tab w:leader="none" w:pos="7820" w:val="left"/>
          <w:tab w:leader="none" w:pos="8440" w:val="left"/>
        </w:tabs>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228" w:lineRule="exact"/>
        <w:rPr>
          <w:sz w:val="24"/>
          <w:szCs w:val="24"/>
          <w:color w:val="auto"/>
        </w:rPr>
      </w:pPr>
    </w:p>
    <w:p>
      <w:pPr>
        <w:jc w:val="both"/>
        <w:ind w:right="20"/>
        <w:spacing w:after="0" w:line="206" w:lineRule="exact"/>
        <w:rPr>
          <w:sz w:val="20"/>
          <w:szCs w:val="20"/>
          <w:color w:val="auto"/>
        </w:rPr>
      </w:pPr>
      <w:r>
        <w:rPr>
          <w:rFonts w:ascii="Arial" w:cs="Arial" w:eastAsia="Arial" w:hAnsi="Arial"/>
          <w:sz w:val="16"/>
          <w:szCs w:val="16"/>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63"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65" w:lineRule="exact"/>
        <w:rPr>
          <w:sz w:val="24"/>
          <w:szCs w:val="24"/>
          <w:color w:val="auto"/>
        </w:rPr>
      </w:pPr>
    </w:p>
    <w:p>
      <w:pPr>
        <w:jc w:val="both"/>
        <w:ind w:right="20"/>
        <w:spacing w:after="0" w:line="20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63"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260"/>
          </w:cols>
          <w:pgMar w:left="320" w:top="470" w:right="319" w:bottom="0" w:gutter="0" w:footer="0" w:header="0"/>
        </w:sectPr>
      </w:pPr>
    </w:p>
    <w:p>
      <w:pPr>
        <w:spacing w:after="0" w:line="12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7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3">
            <w:col w:w="3120" w:space="720"/>
            <w:col w:w="2980" w:space="720"/>
            <w:col w:w="3720"/>
          </w:cols>
          <w:pgMar w:left="320" w:top="470" w:right="319" w:bottom="0" w:gutter="0" w:footer="0" w:header="0"/>
          <w:type w:val="continuous"/>
        </w:sectPr>
      </w:pPr>
    </w:p>
    <w:p>
      <w:pPr>
        <w:spacing w:after="0" w:line="7" w:lineRule="exact"/>
        <w:rPr>
          <w:sz w:val="24"/>
          <w:szCs w:val="24"/>
          <w:color w:val="auto"/>
        </w:rPr>
      </w:pPr>
    </w:p>
    <w:p>
      <w:pPr>
        <w:ind w:right="20"/>
        <w:spacing w:after="0" w:line="206" w:lineRule="exact"/>
        <w:rPr>
          <w:sz w:val="20"/>
          <w:szCs w:val="20"/>
          <w:color w:val="auto"/>
        </w:rPr>
      </w:pPr>
      <w:r>
        <w:rPr>
          <w:rFonts w:ascii="Arial" w:cs="Arial" w:eastAsia="Arial" w:hAnsi="Arial"/>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63"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term “new or revised financial accounting standard” refers to any update issued by the Financial Accounting Standards Board to its Accounting Standards Codification after April 5, 2012.</w:t>
      </w:r>
    </w:p>
    <w:p>
      <w:pPr>
        <w:spacing w:after="0" w:line="152" w:lineRule="exact"/>
        <w:rPr>
          <w:sz w:val="24"/>
          <w:szCs w:val="24"/>
          <w:color w:val="auto"/>
        </w:rPr>
      </w:pPr>
    </w:p>
    <w:p>
      <w:pPr>
        <w:ind w:right="20"/>
        <w:spacing w:after="0" w:line="206"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6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which basis of accounting the registrant has used to prepare the financial statements included in this filing:</w:t>
      </w:r>
    </w:p>
    <w:p>
      <w:pPr>
        <w:sectPr>
          <w:pgSz w:w="11900" w:h="16838" w:orient="portrait"/>
          <w:cols w:equalWidth="0" w:num="1">
            <w:col w:w="11260"/>
          </w:cols>
          <w:pgMar w:left="320" w:top="470" w:right="3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1"/>
        </w:trPr>
        <w:tc>
          <w:tcPr>
            <w:tcW w:w="1560" w:type="dxa"/>
            <w:vAlign w:val="bottom"/>
            <w:gridSpan w:val="2"/>
          </w:tcPr>
          <w:p>
            <w:pPr>
              <w:ind w:left="60"/>
              <w:spacing w:after="0" w:line="184" w:lineRule="exact"/>
              <w:rPr>
                <w:sz w:val="20"/>
                <w:szCs w:val="20"/>
                <w:color w:val="auto"/>
              </w:rPr>
            </w:pPr>
            <w:r>
              <w:rPr>
                <w:rFonts w:ascii="Arial" w:cs="Arial" w:eastAsia="Arial" w:hAnsi="Arial"/>
                <w:sz w:val="16"/>
                <w:szCs w:val="16"/>
                <w:color w:val="auto"/>
              </w:rPr>
              <w:t xml:space="preserve">U.S. GAAP </w:t>
            </w:r>
            <w:r>
              <w:rPr>
                <w:rFonts w:ascii="MS PGothic" w:cs="MS PGothic" w:eastAsia="MS PGothic" w:hAnsi="MS PGothic"/>
                <w:sz w:val="16"/>
                <w:szCs w:val="16"/>
                <w:color w:val="auto"/>
              </w:rPr>
              <w:t>☐</w:t>
            </w:r>
          </w:p>
        </w:tc>
        <w:tc>
          <w:tcPr>
            <w:tcW w:w="7940" w:type="dxa"/>
            <w:vAlign w:val="bottom"/>
            <w:gridSpan w:val="2"/>
          </w:tcPr>
          <w:p>
            <w:pPr>
              <w:ind w:left="2620"/>
              <w:spacing w:after="0"/>
              <w:rPr>
                <w:sz w:val="20"/>
                <w:szCs w:val="20"/>
                <w:color w:val="auto"/>
              </w:rPr>
            </w:pPr>
            <w:r>
              <w:rPr>
                <w:rFonts w:ascii="Arial" w:cs="Arial" w:eastAsia="Arial" w:hAnsi="Arial"/>
                <w:sz w:val="16"/>
                <w:szCs w:val="16"/>
                <w:color w:val="auto"/>
              </w:rPr>
              <w:t>International Financial Reporting Standards as Issued</w:t>
            </w:r>
          </w:p>
        </w:tc>
        <w:tc>
          <w:tcPr>
            <w:tcW w:w="1560" w:type="dxa"/>
            <w:vAlign w:val="bottom"/>
          </w:tcPr>
          <w:p>
            <w:pPr>
              <w:ind w:left="1160"/>
              <w:spacing w:after="0"/>
              <w:rPr>
                <w:sz w:val="20"/>
                <w:szCs w:val="20"/>
                <w:color w:val="auto"/>
              </w:rPr>
            </w:pPr>
            <w:r>
              <w:rPr>
                <w:rFonts w:ascii="Arial" w:cs="Arial" w:eastAsia="Arial" w:hAnsi="Arial"/>
                <w:sz w:val="16"/>
                <w:szCs w:val="16"/>
                <w:color w:val="auto"/>
                <w:w w:val="94"/>
              </w:rPr>
              <w:t>Other</w:t>
            </w:r>
          </w:p>
        </w:tc>
        <w:tc>
          <w:tcPr>
            <w:tcW w:w="200" w:type="dxa"/>
            <w:vAlign w:val="bottom"/>
          </w:tcPr>
          <w:p>
            <w:pPr>
              <w:jc w:val="right"/>
              <w:spacing w:after="0" w:line="161" w:lineRule="exact"/>
              <w:rPr>
                <w:sz w:val="20"/>
                <w:szCs w:val="20"/>
                <w:color w:val="auto"/>
              </w:rPr>
            </w:pPr>
            <w:r>
              <w:rPr>
                <w:rFonts w:ascii="MS PGothic" w:cs="MS PGothic" w:eastAsia="MS PGothic" w:hAnsi="MS PGothic"/>
                <w:sz w:val="16"/>
                <w:szCs w:val="16"/>
                <w:color w:val="auto"/>
                <w:w w:val="99"/>
              </w:rPr>
              <w:t>☐</w:t>
            </w:r>
          </w:p>
        </w:tc>
      </w:tr>
      <w:tr>
        <w:trPr>
          <w:trHeight w:val="250"/>
        </w:trPr>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0" w:type="dxa"/>
            <w:vAlign w:val="bottom"/>
          </w:tcPr>
          <w:p>
            <w:pPr>
              <w:ind w:left="2640"/>
              <w:spacing w:after="0"/>
              <w:rPr>
                <w:sz w:val="20"/>
                <w:szCs w:val="20"/>
                <w:color w:val="auto"/>
              </w:rPr>
            </w:pPr>
            <w:r>
              <w:rPr>
                <w:rFonts w:ascii="Arial" w:cs="Arial" w:eastAsia="Arial" w:hAnsi="Arial"/>
                <w:sz w:val="16"/>
                <w:szCs w:val="16"/>
                <w:color w:val="auto"/>
                <w:w w:val="91"/>
              </w:rPr>
              <w:t>by the International Accounting Standards Board</w:t>
            </w:r>
          </w:p>
        </w:tc>
        <w:tc>
          <w:tcPr>
            <w:tcW w:w="21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6"/>
                <w:szCs w:val="16"/>
                <w:color w:val="auto"/>
              </w:rPr>
              <w:t>If  “Other”</w:t>
            </w:r>
          </w:p>
        </w:tc>
        <w:tc>
          <w:tcPr>
            <w:tcW w:w="780" w:type="dxa"/>
            <w:vAlign w:val="bottom"/>
          </w:tcPr>
          <w:p>
            <w:pPr>
              <w:ind w:left="60"/>
              <w:spacing w:after="0"/>
              <w:rPr>
                <w:sz w:val="20"/>
                <w:szCs w:val="20"/>
                <w:color w:val="auto"/>
              </w:rPr>
            </w:pPr>
            <w:r>
              <w:rPr>
                <w:rFonts w:ascii="Arial" w:cs="Arial" w:eastAsia="Arial" w:hAnsi="Arial"/>
                <w:sz w:val="16"/>
                <w:szCs w:val="16"/>
                <w:color w:val="auto"/>
                <w:w w:val="99"/>
              </w:rPr>
              <w:t>has  been</w:t>
            </w:r>
          </w:p>
        </w:tc>
        <w:tc>
          <w:tcPr>
            <w:tcW w:w="5800" w:type="dxa"/>
            <w:vAlign w:val="bottom"/>
          </w:tcPr>
          <w:p>
            <w:pPr>
              <w:ind w:left="20"/>
              <w:spacing w:after="0"/>
              <w:rPr>
                <w:sz w:val="20"/>
                <w:szCs w:val="20"/>
                <w:color w:val="auto"/>
              </w:rPr>
            </w:pPr>
            <w:r>
              <w:rPr>
                <w:rFonts w:ascii="Arial" w:cs="Arial" w:eastAsia="Arial" w:hAnsi="Arial"/>
                <w:sz w:val="16"/>
                <w:szCs w:val="16"/>
                <w:color w:val="auto"/>
                <w:w w:val="98"/>
              </w:rPr>
              <w:t>checked  in  response  to  the  previous  question,  indicate  by  check  mark  which</w:t>
            </w:r>
          </w:p>
        </w:tc>
        <w:tc>
          <w:tcPr>
            <w:tcW w:w="2140" w:type="dxa"/>
            <w:vAlign w:val="bottom"/>
          </w:tcPr>
          <w:p>
            <w:pPr>
              <w:ind w:left="40"/>
              <w:spacing w:after="0"/>
              <w:rPr>
                <w:sz w:val="20"/>
                <w:szCs w:val="20"/>
                <w:color w:val="auto"/>
              </w:rPr>
            </w:pPr>
            <w:r>
              <w:rPr>
                <w:rFonts w:ascii="Arial" w:cs="Arial" w:eastAsia="Arial" w:hAnsi="Arial"/>
                <w:sz w:val="16"/>
                <w:szCs w:val="16"/>
                <w:color w:val="auto"/>
                <w:w w:val="99"/>
              </w:rPr>
              <w:t>financial  statement  item  the</w:t>
            </w:r>
          </w:p>
        </w:tc>
        <w:tc>
          <w:tcPr>
            <w:tcW w:w="1560" w:type="dxa"/>
            <w:vAlign w:val="bottom"/>
          </w:tcPr>
          <w:p>
            <w:pPr>
              <w:spacing w:after="0"/>
              <w:rPr>
                <w:sz w:val="20"/>
                <w:szCs w:val="20"/>
                <w:color w:val="auto"/>
              </w:rPr>
            </w:pPr>
            <w:r>
              <w:rPr>
                <w:rFonts w:ascii="Arial" w:cs="Arial" w:eastAsia="Arial" w:hAnsi="Arial"/>
                <w:sz w:val="16"/>
                <w:szCs w:val="16"/>
                <w:color w:val="auto"/>
                <w:w w:val="95"/>
              </w:rPr>
              <w:t>registrant  has  elected</w:t>
            </w:r>
          </w:p>
        </w:tc>
        <w:tc>
          <w:tcPr>
            <w:tcW w:w="200" w:type="dxa"/>
            <w:vAlign w:val="bottom"/>
          </w:tcPr>
          <w:p>
            <w:pPr>
              <w:jc w:val="right"/>
              <w:spacing w:after="0"/>
              <w:rPr>
                <w:sz w:val="20"/>
                <w:szCs w:val="20"/>
                <w:color w:val="auto"/>
              </w:rPr>
            </w:pPr>
            <w:r>
              <w:rPr>
                <w:rFonts w:ascii="Arial" w:cs="Arial" w:eastAsia="Arial" w:hAnsi="Arial"/>
                <w:sz w:val="16"/>
                <w:szCs w:val="16"/>
                <w:color w:val="auto"/>
              </w:rPr>
              <w:t>to</w:t>
            </w:r>
          </w:p>
        </w:tc>
      </w:tr>
      <w:tr>
        <w:trPr>
          <w:trHeight w:val="250"/>
        </w:trPr>
        <w:tc>
          <w:tcPr>
            <w:tcW w:w="780" w:type="dxa"/>
            <w:vAlign w:val="bottom"/>
          </w:tcPr>
          <w:p>
            <w:pPr>
              <w:spacing w:after="0" w:line="184" w:lineRule="exact"/>
              <w:rPr>
                <w:sz w:val="20"/>
                <w:szCs w:val="20"/>
                <w:color w:val="auto"/>
              </w:rPr>
            </w:pPr>
            <w:r>
              <w:rPr>
                <w:rFonts w:ascii="Arial" w:cs="Arial" w:eastAsia="Arial" w:hAnsi="Arial"/>
                <w:sz w:val="16"/>
                <w:szCs w:val="16"/>
                <w:color w:val="auto"/>
              </w:rPr>
              <w:t xml:space="preserve">follow. </w:t>
            </w:r>
            <w:r>
              <w:rPr>
                <w:rFonts w:ascii="MS PGothic" w:cs="MS PGothic" w:eastAsia="MS PGothic" w:hAnsi="MS PGothic"/>
                <w:sz w:val="16"/>
                <w:szCs w:val="16"/>
                <w:color w:val="auto"/>
              </w:rPr>
              <w:t>☐</w:t>
            </w:r>
          </w:p>
        </w:tc>
        <w:tc>
          <w:tcPr>
            <w:tcW w:w="780" w:type="dxa"/>
            <w:vAlign w:val="bottom"/>
          </w:tcPr>
          <w:p>
            <w:pPr>
              <w:ind w:left="40"/>
              <w:spacing w:after="0" w:line="184" w:lineRule="exact"/>
              <w:rPr>
                <w:sz w:val="20"/>
                <w:szCs w:val="20"/>
                <w:color w:val="auto"/>
              </w:rPr>
            </w:pPr>
            <w:r>
              <w:rPr>
                <w:rFonts w:ascii="Arial" w:cs="Arial" w:eastAsia="Arial" w:hAnsi="Arial"/>
                <w:sz w:val="16"/>
                <w:szCs w:val="16"/>
                <w:color w:val="auto"/>
                <w:w w:val="97"/>
              </w:rPr>
              <w:t xml:space="preserve">Item 17 </w:t>
            </w:r>
            <w:r>
              <w:rPr>
                <w:rFonts w:ascii="MS PGothic" w:cs="MS PGothic" w:eastAsia="MS PGothic" w:hAnsi="MS PGothic"/>
                <w:sz w:val="16"/>
                <w:szCs w:val="16"/>
                <w:color w:val="auto"/>
                <w:w w:val="97"/>
              </w:rPr>
              <w:t>☐</w:t>
            </w:r>
          </w:p>
        </w:tc>
        <w:tc>
          <w:tcPr>
            <w:tcW w:w="5800" w:type="dxa"/>
            <w:vAlign w:val="bottom"/>
          </w:tcPr>
          <w:p>
            <w:pPr>
              <w:ind w:left="140"/>
              <w:spacing w:after="0"/>
              <w:rPr>
                <w:sz w:val="20"/>
                <w:szCs w:val="20"/>
                <w:color w:val="auto"/>
              </w:rPr>
            </w:pPr>
            <w:r>
              <w:rPr>
                <w:rFonts w:ascii="Arial" w:cs="Arial" w:eastAsia="Arial" w:hAnsi="Arial"/>
                <w:sz w:val="16"/>
                <w:szCs w:val="16"/>
                <w:color w:val="auto"/>
              </w:rPr>
              <w:t>Item 18</w:t>
            </w:r>
          </w:p>
        </w:tc>
        <w:tc>
          <w:tcPr>
            <w:tcW w:w="2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382"/>
        </w:trPr>
        <w:tc>
          <w:tcPr>
            <w:tcW w:w="9500" w:type="dxa"/>
            <w:vAlign w:val="bottom"/>
            <w:gridSpan w:val="4"/>
          </w:tcPr>
          <w:p>
            <w:pPr>
              <w:spacing w:after="0" w:line="184" w:lineRule="exact"/>
              <w:rPr>
                <w:sz w:val="20"/>
                <w:szCs w:val="20"/>
                <w:color w:val="auto"/>
              </w:rPr>
            </w:pPr>
            <w:r>
              <w:rPr>
                <w:rFonts w:ascii="Arial" w:cs="Arial" w:eastAsia="Arial" w:hAnsi="Arial"/>
                <w:sz w:val="16"/>
                <w:szCs w:val="16"/>
                <w:color w:val="auto"/>
                <w:w w:val="91"/>
              </w:rPr>
              <w:t xml:space="preserve">If this is an annual report, indicate by check mark whether the registrant is a shell company (as defined in Rule 12b-2 of the Exchange Act). </w:t>
            </w:r>
            <w:r>
              <w:rPr>
                <w:rFonts w:ascii="MS PGothic" w:cs="MS PGothic" w:eastAsia="MS PGothic" w:hAnsi="MS PGothic"/>
                <w:sz w:val="16"/>
                <w:szCs w:val="16"/>
                <w:color w:val="auto"/>
                <w:w w:val="91"/>
              </w:rPr>
              <w:t>☐</w:t>
            </w:r>
            <w:r>
              <w:rPr>
                <w:rFonts w:ascii="Arial" w:cs="Arial" w:eastAsia="Arial" w:hAnsi="Arial"/>
                <w:sz w:val="16"/>
                <w:szCs w:val="16"/>
                <w:color w:val="auto"/>
                <w:w w:val="91"/>
              </w:rPr>
              <w:t xml:space="preserve"> Yes</w:t>
            </w:r>
          </w:p>
        </w:tc>
        <w:tc>
          <w:tcPr>
            <w:tcW w:w="1560" w:type="dxa"/>
            <w:vAlign w:val="bottom"/>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200" w:type="dxa"/>
            <w:vAlign w:val="bottom"/>
          </w:tcPr>
          <w:p>
            <w:pPr>
              <w:spacing w:after="0"/>
              <w:rPr>
                <w:sz w:val="24"/>
                <w:szCs w:val="24"/>
                <w:color w:val="auto"/>
              </w:rPr>
            </w:pPr>
          </w:p>
        </w:tc>
      </w:tr>
      <w:tr>
        <w:trPr>
          <w:trHeight w:val="175"/>
        </w:trPr>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8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577"/>
        </w:trPr>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98"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Explanatory Note</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This Amendment No. 1 to the Annual Report on Form 20-F of Procaps Group S.A. (the “Company”) amends the Company’s Annual Report on Form 20-F for the year ended December 31, 2021 (the “Original 20-F”), which was filed with the Securities and Exchange Commission on April 29, 2022. The Company is filing this Amendment No. 1 solely to submit the Interactive Data File (as defined in Rule 11 of Regulation S-T) as Exhibit 101 to this Form 20-F/A in accordance with Rule 405 of Regulation S-T. Exhibit 101 was omitted from the Original Form 20-F in accordance with the 30-day grace period provided under Rule 405 of Regulation S-T.</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Except as described above, this Amendment No. 1 does not, and does not puport to, amend, modify or restate any information set forth in the Original 20-F, or reflect any events that occurred subsequent to the filing of the Original 20-F on 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8"/>
        </w:trPr>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gridSpan w:val="12"/>
          </w:tcPr>
          <w:p>
            <w:pPr>
              <w:ind w:left="60"/>
              <w:spacing w:after="0"/>
              <w:rPr>
                <w:sz w:val="20"/>
                <w:szCs w:val="20"/>
                <w:color w:val="auto"/>
              </w:rPr>
            </w:pPr>
            <w:r>
              <w:rPr>
                <w:rFonts w:ascii="Arial" w:cs="Arial" w:eastAsia="Arial" w:hAnsi="Arial"/>
                <w:sz w:val="16"/>
                <w:szCs w:val="16"/>
                <w:b w:val="1"/>
                <w:bCs w:val="1"/>
                <w:color w:val="auto"/>
              </w:rPr>
              <w:t>TABLE OF CONTENTS</w:t>
            </w:r>
          </w:p>
        </w:tc>
        <w:tc>
          <w:tcPr>
            <w:tcW w:w="1580" w:type="dxa"/>
            <w:vAlign w:val="bottom"/>
          </w:tcPr>
          <w:p>
            <w:pPr>
              <w:spacing w:after="0"/>
              <w:rPr>
                <w:sz w:val="18"/>
                <w:szCs w:val="18"/>
                <w:color w:val="auto"/>
              </w:rPr>
            </w:pPr>
          </w:p>
        </w:tc>
      </w:tr>
      <w:tr>
        <w:trPr>
          <w:trHeight w:val="191"/>
        </w:trPr>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71"/>
        </w:trPr>
        <w:tc>
          <w:tcPr>
            <w:tcW w:w="9680" w:type="dxa"/>
            <w:vAlign w:val="bottom"/>
            <w:gridSpan w:val="33"/>
            <w:shd w:val="clear" w:color="auto" w:fill="CCEEFF"/>
          </w:tcPr>
          <w:p>
            <w:pPr>
              <w:spacing w:after="0" w:line="155" w:lineRule="exact"/>
              <w:rPr>
                <w:rFonts w:ascii="Arial" w:cs="Arial" w:eastAsia="Arial" w:hAnsi="Arial"/>
                <w:sz w:val="16"/>
                <w:szCs w:val="16"/>
                <w:color w:val="0000EE"/>
              </w:rPr>
            </w:pPr>
            <w:hyperlink w:anchor="page5">
              <w:r>
                <w:rPr>
                  <w:rFonts w:ascii="Arial" w:cs="Arial" w:eastAsia="Arial" w:hAnsi="Arial"/>
                  <w:sz w:val="16"/>
                  <w:szCs w:val="16"/>
                  <w:color w:val="0000EE"/>
                </w:rPr>
                <w:t>FREQUENTLY USED TERMS</w:t>
              </w:r>
            </w:hyperlink>
          </w:p>
        </w:tc>
        <w:tc>
          <w:tcPr>
            <w:tcW w:w="1580" w:type="dxa"/>
            <w:vAlign w:val="bottom"/>
            <w:shd w:val="clear" w:color="auto" w:fill="CCEEFF"/>
          </w:tcPr>
          <w:p>
            <w:pPr>
              <w:jc w:val="center"/>
              <w:ind w:left="580"/>
              <w:spacing w:after="0" w:line="155" w:lineRule="exact"/>
              <w:rPr>
                <w:sz w:val="20"/>
                <w:szCs w:val="20"/>
                <w:color w:val="auto"/>
              </w:rPr>
            </w:pPr>
            <w:r>
              <w:rPr>
                <w:rFonts w:ascii="Arial" w:cs="Arial" w:eastAsia="Arial" w:hAnsi="Arial"/>
                <w:sz w:val="16"/>
                <w:szCs w:val="16"/>
                <w:color w:val="auto"/>
              </w:rPr>
              <w:t>ii</w:t>
            </w:r>
          </w:p>
        </w:tc>
      </w:tr>
      <w:tr>
        <w:trPr>
          <w:trHeight w:val="191"/>
        </w:trPr>
        <w:tc>
          <w:tcPr>
            <w:tcW w:w="1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gridSpan w:val="2"/>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71"/>
        </w:trPr>
        <w:tc>
          <w:tcPr>
            <w:tcW w:w="9680" w:type="dxa"/>
            <w:vAlign w:val="bottom"/>
            <w:gridSpan w:val="33"/>
            <w:shd w:val="clear" w:color="auto" w:fill="CCEEFF"/>
          </w:tcPr>
          <w:p>
            <w:pPr>
              <w:spacing w:after="0" w:line="155" w:lineRule="exact"/>
              <w:rPr>
                <w:rFonts w:ascii="Arial" w:cs="Arial" w:eastAsia="Arial" w:hAnsi="Arial"/>
                <w:sz w:val="16"/>
                <w:szCs w:val="16"/>
                <w:color w:val="0000EE"/>
              </w:rPr>
            </w:pPr>
            <w:hyperlink w:anchor="page10">
              <w:r>
                <w:rPr>
                  <w:rFonts w:ascii="Arial" w:cs="Arial" w:eastAsia="Arial" w:hAnsi="Arial"/>
                  <w:sz w:val="16"/>
                  <w:szCs w:val="16"/>
                  <w:color w:val="0000EE"/>
                </w:rPr>
                <w:t>CERTAIN CONVENTIONS</w:t>
              </w:r>
            </w:hyperlink>
          </w:p>
        </w:tc>
        <w:tc>
          <w:tcPr>
            <w:tcW w:w="1580" w:type="dxa"/>
            <w:vAlign w:val="bottom"/>
            <w:shd w:val="clear" w:color="auto" w:fill="CCEEFF"/>
          </w:tcPr>
          <w:p>
            <w:pPr>
              <w:jc w:val="center"/>
              <w:ind w:left="580"/>
              <w:spacing w:after="0" w:line="155" w:lineRule="exact"/>
              <w:rPr>
                <w:sz w:val="20"/>
                <w:szCs w:val="20"/>
                <w:color w:val="auto"/>
              </w:rPr>
            </w:pPr>
            <w:r>
              <w:rPr>
                <w:rFonts w:ascii="Arial" w:cs="Arial" w:eastAsia="Arial" w:hAnsi="Arial"/>
                <w:sz w:val="16"/>
                <w:szCs w:val="16"/>
                <w:color w:val="auto"/>
              </w:rPr>
              <w:t>vii</w:t>
            </w:r>
          </w:p>
        </w:tc>
      </w:tr>
      <w:tr>
        <w:trPr>
          <w:trHeight w:val="191"/>
        </w:trPr>
        <w:tc>
          <w:tcPr>
            <w:tcW w:w="1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gridSpan w:val="2"/>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71"/>
        </w:trPr>
        <w:tc>
          <w:tcPr>
            <w:tcW w:w="140" w:type="dxa"/>
            <w:vAlign w:val="bottom"/>
            <w:shd w:val="clear" w:color="auto" w:fill="CCEEFF"/>
          </w:tcPr>
          <w:p>
            <w:pPr>
              <w:spacing w:after="0"/>
              <w:rPr>
                <w:sz w:val="14"/>
                <w:szCs w:val="14"/>
                <w:color w:val="auto"/>
              </w:rPr>
            </w:pPr>
          </w:p>
        </w:tc>
        <w:tc>
          <w:tcPr>
            <w:tcW w:w="9540" w:type="dxa"/>
            <w:vAlign w:val="bottom"/>
            <w:gridSpan w:val="32"/>
            <w:shd w:val="clear" w:color="auto" w:fill="CCEEFF"/>
          </w:tcPr>
          <w:p>
            <w:pPr>
              <w:spacing w:after="0" w:line="155" w:lineRule="exact"/>
              <w:rPr>
                <w:rFonts w:ascii="Arial" w:cs="Arial" w:eastAsia="Arial" w:hAnsi="Arial"/>
                <w:sz w:val="16"/>
                <w:szCs w:val="16"/>
                <w:color w:val="0000EE"/>
              </w:rPr>
            </w:pPr>
            <w:hyperlink w:anchor="page10">
              <w:r>
                <w:rPr>
                  <w:rFonts w:ascii="Arial" w:cs="Arial" w:eastAsia="Arial" w:hAnsi="Arial"/>
                  <w:sz w:val="16"/>
                  <w:szCs w:val="16"/>
                  <w:color w:val="0000EE"/>
                </w:rPr>
                <w:t>Restatement of Previously Issued Financial Statements</w:t>
              </w:r>
            </w:hyperlink>
          </w:p>
        </w:tc>
        <w:tc>
          <w:tcPr>
            <w:tcW w:w="1580" w:type="dxa"/>
            <w:vAlign w:val="bottom"/>
            <w:shd w:val="clear" w:color="auto" w:fill="CCEEFF"/>
          </w:tcPr>
          <w:p>
            <w:pPr>
              <w:jc w:val="center"/>
              <w:ind w:left="580"/>
              <w:spacing w:after="0" w:line="155" w:lineRule="exact"/>
              <w:rPr>
                <w:sz w:val="20"/>
                <w:szCs w:val="20"/>
                <w:color w:val="auto"/>
              </w:rPr>
            </w:pPr>
            <w:r>
              <w:rPr>
                <w:rFonts w:ascii="Arial" w:cs="Arial" w:eastAsia="Arial" w:hAnsi="Arial"/>
                <w:sz w:val="16"/>
                <w:szCs w:val="16"/>
                <w:color w:val="auto"/>
              </w:rPr>
              <w:t>vii</w:t>
            </w:r>
          </w:p>
        </w:tc>
      </w:tr>
      <w:tr>
        <w:trPr>
          <w:trHeight w:val="191"/>
        </w:trPr>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gridSpan w:val="2"/>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71"/>
        </w:trPr>
        <w:tc>
          <w:tcPr>
            <w:tcW w:w="9680" w:type="dxa"/>
            <w:vAlign w:val="bottom"/>
            <w:gridSpan w:val="33"/>
            <w:shd w:val="clear" w:color="auto" w:fill="CCEEFF"/>
          </w:tcPr>
          <w:p>
            <w:pPr>
              <w:spacing w:after="0" w:line="155" w:lineRule="exact"/>
              <w:rPr>
                <w:rFonts w:ascii="Arial" w:cs="Arial" w:eastAsia="Arial" w:hAnsi="Arial"/>
                <w:sz w:val="16"/>
                <w:szCs w:val="16"/>
                <w:color w:val="0000EE"/>
              </w:rPr>
            </w:pPr>
            <w:hyperlink w:anchor="page11">
              <w:r>
                <w:rPr>
                  <w:rFonts w:ascii="Arial" w:cs="Arial" w:eastAsia="Arial" w:hAnsi="Arial"/>
                  <w:sz w:val="16"/>
                  <w:szCs w:val="16"/>
                  <w:color w:val="0000EE"/>
                </w:rPr>
                <w:t>CURRENCY PRESENTATION</w:t>
              </w:r>
            </w:hyperlink>
          </w:p>
        </w:tc>
        <w:tc>
          <w:tcPr>
            <w:tcW w:w="1580" w:type="dxa"/>
            <w:vAlign w:val="bottom"/>
            <w:shd w:val="clear" w:color="auto" w:fill="CCEEFF"/>
          </w:tcPr>
          <w:p>
            <w:pPr>
              <w:jc w:val="center"/>
              <w:ind w:left="600"/>
              <w:spacing w:after="0" w:line="155" w:lineRule="exact"/>
              <w:rPr>
                <w:sz w:val="20"/>
                <w:szCs w:val="20"/>
                <w:color w:val="auto"/>
              </w:rPr>
            </w:pPr>
            <w:r>
              <w:rPr>
                <w:rFonts w:ascii="Arial" w:cs="Arial" w:eastAsia="Arial" w:hAnsi="Arial"/>
                <w:sz w:val="16"/>
                <w:szCs w:val="16"/>
                <w:color w:val="auto"/>
              </w:rPr>
              <w:t>viii</w:t>
            </w:r>
          </w:p>
        </w:tc>
      </w:tr>
      <w:tr>
        <w:trPr>
          <w:trHeight w:val="191"/>
        </w:trPr>
        <w:tc>
          <w:tcPr>
            <w:tcW w:w="1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gridSpan w:val="2"/>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71"/>
        </w:trPr>
        <w:tc>
          <w:tcPr>
            <w:tcW w:w="9680" w:type="dxa"/>
            <w:vAlign w:val="bottom"/>
            <w:gridSpan w:val="33"/>
            <w:shd w:val="clear" w:color="auto" w:fill="CCEEFF"/>
          </w:tcPr>
          <w:p>
            <w:pPr>
              <w:spacing w:after="0" w:line="155" w:lineRule="exact"/>
              <w:rPr>
                <w:rFonts w:ascii="Arial" w:cs="Arial" w:eastAsia="Arial" w:hAnsi="Arial"/>
                <w:sz w:val="16"/>
                <w:szCs w:val="16"/>
                <w:color w:val="0000EE"/>
              </w:rPr>
            </w:pPr>
            <w:hyperlink w:anchor="page11">
              <w:r>
                <w:rPr>
                  <w:rFonts w:ascii="Arial" w:cs="Arial" w:eastAsia="Arial" w:hAnsi="Arial"/>
                  <w:sz w:val="16"/>
                  <w:szCs w:val="16"/>
                  <w:color w:val="0000EE"/>
                </w:rPr>
                <w:t>PRESENTATION OF FINANCIAL INFORMATION</w:t>
              </w:r>
            </w:hyperlink>
          </w:p>
        </w:tc>
        <w:tc>
          <w:tcPr>
            <w:tcW w:w="1580" w:type="dxa"/>
            <w:vAlign w:val="bottom"/>
            <w:shd w:val="clear" w:color="auto" w:fill="CCEEFF"/>
          </w:tcPr>
          <w:p>
            <w:pPr>
              <w:jc w:val="center"/>
              <w:ind w:left="600"/>
              <w:spacing w:after="0" w:line="155" w:lineRule="exact"/>
              <w:rPr>
                <w:sz w:val="20"/>
                <w:szCs w:val="20"/>
                <w:color w:val="auto"/>
              </w:rPr>
            </w:pPr>
            <w:r>
              <w:rPr>
                <w:rFonts w:ascii="Arial" w:cs="Arial" w:eastAsia="Arial" w:hAnsi="Arial"/>
                <w:sz w:val="16"/>
                <w:szCs w:val="16"/>
                <w:color w:val="auto"/>
              </w:rPr>
              <w:t>viii</w:t>
            </w:r>
          </w:p>
        </w:tc>
      </w:tr>
      <w:tr>
        <w:trPr>
          <w:trHeight w:val="191"/>
        </w:trPr>
        <w:tc>
          <w:tcPr>
            <w:tcW w:w="1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71"/>
        </w:trPr>
        <w:tc>
          <w:tcPr>
            <w:tcW w:w="1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0000EE"/>
            </w:tcBorders>
            <w:gridSpan w:val="5"/>
            <w:shd w:val="clear" w:color="auto" w:fill="CCEEFF"/>
          </w:tcPr>
          <w:p>
            <w:pPr>
              <w:spacing w:after="0" w:line="155" w:lineRule="exact"/>
              <w:rPr>
                <w:rFonts w:ascii="Arial" w:cs="Arial" w:eastAsia="Arial" w:hAnsi="Arial"/>
                <w:sz w:val="16"/>
                <w:szCs w:val="16"/>
                <w:color w:val="0000EE"/>
                <w:w w:val="92"/>
              </w:rPr>
            </w:pPr>
            <w:hyperlink w:anchor="page11">
              <w:r>
                <w:rPr>
                  <w:rFonts w:ascii="Arial" w:cs="Arial" w:eastAsia="Arial" w:hAnsi="Arial"/>
                  <w:sz w:val="16"/>
                  <w:szCs w:val="16"/>
                  <w:color w:val="0000EE"/>
                  <w:w w:val="92"/>
                </w:rPr>
                <w:t>Non-IFRS Information</w:t>
              </w:r>
            </w:hyperlink>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left w:val="single" w:sz="8" w:color="CCEEFF"/>
              <w:bottom w:val="single" w:sz="8" w:color="CCEEFF"/>
              <w:right w:val="single" w:sz="8" w:color="CCEEFF"/>
            </w:tcBorders>
            <w:shd w:val="clear" w:color="auto" w:fill="CCEEFF"/>
          </w:tcPr>
          <w:p>
            <w:pPr>
              <w:spacing w:after="0"/>
              <w:rPr>
                <w:sz w:val="14"/>
                <w:szCs w:val="14"/>
                <w:color w:val="auto"/>
              </w:rPr>
            </w:pPr>
          </w:p>
        </w:tc>
        <w:tc>
          <w:tcPr>
            <w:tcW w:w="300" w:type="dxa"/>
            <w:vAlign w:val="bottom"/>
            <w:tcBorders>
              <w:left w:val="single" w:sz="8" w:color="CCEEFF"/>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jc w:val="center"/>
              <w:ind w:left="600"/>
              <w:spacing w:after="0" w:line="155" w:lineRule="exact"/>
              <w:rPr>
                <w:sz w:val="20"/>
                <w:szCs w:val="20"/>
                <w:color w:val="auto"/>
              </w:rPr>
            </w:pPr>
            <w:r>
              <w:rPr>
                <w:rFonts w:ascii="Arial" w:cs="Arial" w:eastAsia="Arial" w:hAnsi="Arial"/>
                <w:sz w:val="16"/>
                <w:szCs w:val="16"/>
                <w:color w:val="auto"/>
              </w:rPr>
              <w:t>viii</w:t>
            </w:r>
          </w:p>
        </w:tc>
      </w:tr>
      <w:tr>
        <w:trPr>
          <w:trHeight w:val="191"/>
        </w:trPr>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71"/>
        </w:trPr>
        <w:tc>
          <w:tcPr>
            <w:tcW w:w="9680" w:type="dxa"/>
            <w:vAlign w:val="bottom"/>
            <w:gridSpan w:val="33"/>
            <w:shd w:val="clear" w:color="auto" w:fill="CCEEFF"/>
          </w:tcPr>
          <w:p>
            <w:pPr>
              <w:spacing w:after="0" w:line="155" w:lineRule="exact"/>
              <w:rPr>
                <w:rFonts w:ascii="Arial" w:cs="Arial" w:eastAsia="Arial" w:hAnsi="Arial"/>
                <w:sz w:val="16"/>
                <w:szCs w:val="16"/>
                <w:color w:val="0000EE"/>
              </w:rPr>
            </w:pPr>
            <w:hyperlink w:anchor="page12">
              <w:r>
                <w:rPr>
                  <w:rFonts w:ascii="Arial" w:cs="Arial" w:eastAsia="Arial" w:hAnsi="Arial"/>
                  <w:sz w:val="16"/>
                  <w:szCs w:val="16"/>
                  <w:color w:val="0000EE"/>
                </w:rPr>
                <w:t>PRESENTATION OF INDUSTRY AND MARKET DATA</w:t>
              </w:r>
            </w:hyperlink>
          </w:p>
        </w:tc>
        <w:tc>
          <w:tcPr>
            <w:tcW w:w="1580" w:type="dxa"/>
            <w:vAlign w:val="bottom"/>
            <w:shd w:val="clear" w:color="auto" w:fill="CCEEFF"/>
          </w:tcPr>
          <w:p>
            <w:pPr>
              <w:jc w:val="center"/>
              <w:ind w:left="580"/>
              <w:spacing w:after="0" w:line="155" w:lineRule="exact"/>
              <w:rPr>
                <w:sz w:val="20"/>
                <w:szCs w:val="20"/>
                <w:color w:val="auto"/>
              </w:rPr>
            </w:pPr>
            <w:r>
              <w:rPr>
                <w:rFonts w:ascii="Arial" w:cs="Arial" w:eastAsia="Arial" w:hAnsi="Arial"/>
                <w:sz w:val="16"/>
                <w:szCs w:val="16"/>
                <w:color w:val="auto"/>
              </w:rPr>
              <w:t>ix</w:t>
            </w:r>
          </w:p>
        </w:tc>
      </w:tr>
      <w:tr>
        <w:trPr>
          <w:trHeight w:val="191"/>
        </w:trPr>
        <w:tc>
          <w:tcPr>
            <w:tcW w:w="1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55"/>
        </w:trPr>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spacing w:after="0" w:line="155" w:lineRule="exact"/>
              <w:rPr>
                <w:rFonts w:ascii="Arial" w:cs="Arial" w:eastAsia="Arial" w:hAnsi="Arial"/>
                <w:sz w:val="16"/>
                <w:szCs w:val="16"/>
                <w:color w:val="0000EE"/>
              </w:rPr>
            </w:pPr>
            <w:hyperlink w:anchor="page13">
              <w:r>
                <w:rPr>
                  <w:rFonts w:ascii="Arial" w:cs="Arial" w:eastAsia="Arial" w:hAnsi="Arial"/>
                  <w:sz w:val="16"/>
                  <w:szCs w:val="16"/>
                  <w:color w:val="0000EE"/>
                </w:rPr>
                <w:t>Item 1.</w:t>
              </w:r>
            </w:hyperlink>
          </w:p>
        </w:tc>
        <w:tc>
          <w:tcPr>
            <w:tcW w:w="8080" w:type="dxa"/>
            <w:vAlign w:val="bottom"/>
            <w:gridSpan w:val="27"/>
            <w:shd w:val="clear" w:color="auto" w:fill="CCEEFF"/>
          </w:tcPr>
          <w:p>
            <w:pPr>
              <w:ind w:left="100"/>
              <w:spacing w:after="0" w:line="155" w:lineRule="exact"/>
              <w:rPr>
                <w:rFonts w:ascii="Arial" w:cs="Arial" w:eastAsia="Arial" w:hAnsi="Arial"/>
                <w:sz w:val="16"/>
                <w:szCs w:val="16"/>
                <w:color w:val="0000EE"/>
              </w:rPr>
            </w:pPr>
            <w:hyperlink w:anchor="page13">
              <w:r>
                <w:rPr>
                  <w:rFonts w:ascii="Arial" w:cs="Arial" w:eastAsia="Arial" w:hAnsi="Arial"/>
                  <w:sz w:val="16"/>
                  <w:szCs w:val="16"/>
                  <w:color w:val="0000EE"/>
                </w:rPr>
                <w:t>IDENTITY OF DIRECTORS, SENIOR MANAGEMENT AND ADVISERS</w:t>
              </w:r>
            </w:hyperlink>
          </w:p>
        </w:tc>
        <w:tc>
          <w:tcPr>
            <w:tcW w:w="1580" w:type="dxa"/>
            <w:vAlign w:val="bottom"/>
            <w:shd w:val="clear" w:color="auto" w:fill="CCEEFF"/>
          </w:tcPr>
          <w:p>
            <w:pPr>
              <w:jc w:val="center"/>
              <w:ind w:left="580"/>
              <w:spacing w:after="0" w:line="155" w:lineRule="exact"/>
              <w:rPr>
                <w:sz w:val="20"/>
                <w:szCs w:val="20"/>
                <w:color w:val="auto"/>
              </w:rPr>
            </w:pPr>
            <w:r>
              <w:rPr>
                <w:rFonts w:ascii="Arial" w:cs="Arial" w:eastAsia="Arial" w:hAnsi="Arial"/>
                <w:sz w:val="16"/>
                <w:szCs w:val="16"/>
                <w:color w:val="auto"/>
                <w:w w:val="89"/>
              </w:rPr>
              <w:t>1</w:t>
            </w:r>
          </w:p>
        </w:tc>
      </w:tr>
      <w:tr>
        <w:trPr>
          <w:trHeight w:val="36"/>
        </w:trPr>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620" w:type="dxa"/>
            <w:vAlign w:val="bottom"/>
            <w:tcBorders>
              <w:left w:val="single" w:sz="8" w:color="0000EE"/>
              <w:right w:val="single" w:sz="8" w:color="0000EE"/>
            </w:tcBorders>
            <w:shd w:val="clear" w:color="auto" w:fill="0000EE"/>
          </w:tcPr>
          <w:p>
            <w:pPr>
              <w:spacing w:after="0"/>
              <w:rPr>
                <w:sz w:val="3"/>
                <w:szCs w:val="3"/>
                <w:color w:val="auto"/>
              </w:rPr>
            </w:pPr>
          </w:p>
        </w:tc>
        <w:tc>
          <w:tcPr>
            <w:tcW w:w="300" w:type="dxa"/>
            <w:vAlign w:val="bottom"/>
            <w:tcBorders>
              <w:left w:val="single" w:sz="8" w:color="0000EE"/>
            </w:tcBorders>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r>
        <w:trPr>
          <w:trHeight w:val="155"/>
        </w:trPr>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4"/>
          </w:tcPr>
          <w:p>
            <w:pPr>
              <w:spacing w:after="0" w:line="155" w:lineRule="exact"/>
              <w:rPr>
                <w:rFonts w:ascii="Arial" w:cs="Arial" w:eastAsia="Arial" w:hAnsi="Arial"/>
                <w:sz w:val="16"/>
                <w:szCs w:val="16"/>
                <w:color w:val="0000EE"/>
              </w:rPr>
            </w:pPr>
            <w:hyperlink w:anchor="page13">
              <w:r>
                <w:rPr>
                  <w:rFonts w:ascii="Arial" w:cs="Arial" w:eastAsia="Arial" w:hAnsi="Arial"/>
                  <w:sz w:val="16"/>
                  <w:szCs w:val="16"/>
                  <w:color w:val="0000EE"/>
                </w:rPr>
                <w:t>Item 2.</w:t>
              </w:r>
            </w:hyperlink>
          </w:p>
        </w:tc>
        <w:tc>
          <w:tcPr>
            <w:tcW w:w="8080" w:type="dxa"/>
            <w:vAlign w:val="bottom"/>
            <w:gridSpan w:val="27"/>
          </w:tcPr>
          <w:p>
            <w:pPr>
              <w:ind w:left="100"/>
              <w:spacing w:after="0" w:line="155" w:lineRule="exact"/>
              <w:rPr>
                <w:rFonts w:ascii="Arial" w:cs="Arial" w:eastAsia="Arial" w:hAnsi="Arial"/>
                <w:sz w:val="16"/>
                <w:szCs w:val="16"/>
                <w:color w:val="0000EE"/>
              </w:rPr>
            </w:pPr>
            <w:hyperlink w:anchor="page13">
              <w:r>
                <w:rPr>
                  <w:rFonts w:ascii="Arial" w:cs="Arial" w:eastAsia="Arial" w:hAnsi="Arial"/>
                  <w:sz w:val="16"/>
                  <w:szCs w:val="16"/>
                  <w:color w:val="0000EE"/>
                </w:rPr>
                <w:t>OFFER STATISTICS AND EXPECTED TIMETABLE</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w:t>
            </w:r>
          </w:p>
        </w:tc>
      </w:tr>
      <w:tr>
        <w:trPr>
          <w:trHeight w:val="28"/>
        </w:trPr>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20" w:type="dxa"/>
            <w:vAlign w:val="bottom"/>
            <w:tcBorders>
              <w:left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63"/>
        </w:trPr>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spacing w:after="0" w:line="163" w:lineRule="exact"/>
              <w:rPr>
                <w:rFonts w:ascii="Arial" w:cs="Arial" w:eastAsia="Arial" w:hAnsi="Arial"/>
                <w:sz w:val="16"/>
                <w:szCs w:val="16"/>
                <w:color w:val="0000EE"/>
              </w:rPr>
            </w:pPr>
            <w:hyperlink w:anchor="page13">
              <w:r>
                <w:rPr>
                  <w:rFonts w:ascii="Arial" w:cs="Arial" w:eastAsia="Arial" w:hAnsi="Arial"/>
                  <w:sz w:val="16"/>
                  <w:szCs w:val="16"/>
                  <w:color w:val="0000EE"/>
                </w:rPr>
                <w:t>Item 3.</w:t>
              </w:r>
            </w:hyperlink>
          </w:p>
        </w:tc>
        <w:tc>
          <w:tcPr>
            <w:tcW w:w="8080" w:type="dxa"/>
            <w:vAlign w:val="bottom"/>
            <w:gridSpan w:val="27"/>
            <w:shd w:val="clear" w:color="auto" w:fill="CCEEFF"/>
          </w:tcPr>
          <w:p>
            <w:pPr>
              <w:ind w:left="100"/>
              <w:spacing w:after="0" w:line="163" w:lineRule="exact"/>
              <w:rPr>
                <w:rFonts w:ascii="Arial" w:cs="Arial" w:eastAsia="Arial" w:hAnsi="Arial"/>
                <w:sz w:val="16"/>
                <w:szCs w:val="16"/>
                <w:color w:val="0000EE"/>
              </w:rPr>
            </w:pPr>
            <w:hyperlink w:anchor="page13">
              <w:r>
                <w:rPr>
                  <w:rFonts w:ascii="Arial" w:cs="Arial" w:eastAsia="Arial" w:hAnsi="Arial"/>
                  <w:sz w:val="16"/>
                  <w:szCs w:val="16"/>
                  <w:color w:val="0000EE"/>
                </w:rPr>
                <w:t>KEY INFORMATION</w:t>
              </w:r>
            </w:hyperlink>
          </w:p>
        </w:tc>
        <w:tc>
          <w:tcPr>
            <w:tcW w:w="1580" w:type="dxa"/>
            <w:vAlign w:val="bottom"/>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w:t>
            </w:r>
          </w:p>
        </w:tc>
      </w:tr>
      <w:tr>
        <w:trPr>
          <w:trHeight w:val="36"/>
        </w:trPr>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20" w:type="dxa"/>
            <w:vAlign w:val="bottom"/>
            <w:tcBorders>
              <w:left w:val="single" w:sz="8" w:color="CCEEFF"/>
              <w:right w:val="single" w:sz="8" w:color="CCEEFF"/>
            </w:tcBorders>
            <w:shd w:val="clear" w:color="auto" w:fill="CCEEFF"/>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r>
        <w:trPr>
          <w:trHeight w:val="155"/>
        </w:trPr>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4"/>
          </w:tcPr>
          <w:p>
            <w:pPr>
              <w:spacing w:after="0" w:line="155" w:lineRule="exact"/>
              <w:rPr>
                <w:rFonts w:ascii="Arial" w:cs="Arial" w:eastAsia="Arial" w:hAnsi="Arial"/>
                <w:sz w:val="16"/>
                <w:szCs w:val="16"/>
                <w:color w:val="0000EE"/>
              </w:rPr>
            </w:pPr>
            <w:hyperlink w:anchor="page40">
              <w:r>
                <w:rPr>
                  <w:rFonts w:ascii="Arial" w:cs="Arial" w:eastAsia="Arial" w:hAnsi="Arial"/>
                  <w:sz w:val="16"/>
                  <w:szCs w:val="16"/>
                  <w:color w:val="0000EE"/>
                </w:rPr>
                <w:t>Item 4.</w:t>
              </w:r>
            </w:hyperlink>
          </w:p>
        </w:tc>
        <w:tc>
          <w:tcPr>
            <w:tcW w:w="8080" w:type="dxa"/>
            <w:vAlign w:val="bottom"/>
            <w:gridSpan w:val="27"/>
          </w:tcPr>
          <w:p>
            <w:pPr>
              <w:ind w:left="100"/>
              <w:spacing w:after="0" w:line="155" w:lineRule="exact"/>
              <w:rPr>
                <w:rFonts w:ascii="Arial" w:cs="Arial" w:eastAsia="Arial" w:hAnsi="Arial"/>
                <w:sz w:val="16"/>
                <w:szCs w:val="16"/>
                <w:color w:val="0000EE"/>
              </w:rPr>
            </w:pPr>
            <w:hyperlink w:anchor="page40">
              <w:r>
                <w:rPr>
                  <w:rFonts w:ascii="Arial" w:cs="Arial" w:eastAsia="Arial" w:hAnsi="Arial"/>
                  <w:sz w:val="16"/>
                  <w:szCs w:val="16"/>
                  <w:color w:val="0000EE"/>
                </w:rPr>
                <w:t>COMPANY INFORMATION</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28</w:t>
            </w:r>
          </w:p>
        </w:tc>
      </w:tr>
      <w:tr>
        <w:trPr>
          <w:trHeight w:val="28"/>
        </w:trPr>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79"/>
        </w:trPr>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0000EE"/>
            </w:tcBorders>
            <w:gridSpan w:val="2"/>
            <w:shd w:val="clear" w:color="auto" w:fill="CCEEFF"/>
          </w:tcPr>
          <w:p>
            <w:pPr>
              <w:spacing w:after="0" w:line="163" w:lineRule="exact"/>
              <w:rPr>
                <w:rFonts w:ascii="Arial" w:cs="Arial" w:eastAsia="Arial" w:hAnsi="Arial"/>
                <w:sz w:val="16"/>
                <w:szCs w:val="16"/>
                <w:color w:val="0000EE"/>
                <w:w w:val="83"/>
              </w:rPr>
            </w:pPr>
            <w:hyperlink w:anchor="page62">
              <w:r>
                <w:rPr>
                  <w:rFonts w:ascii="Arial" w:cs="Arial" w:eastAsia="Arial" w:hAnsi="Arial"/>
                  <w:sz w:val="16"/>
                  <w:szCs w:val="16"/>
                  <w:color w:val="0000EE"/>
                  <w:w w:val="83"/>
                </w:rPr>
                <w:t>Item 4A.</w:t>
              </w:r>
            </w:hyperlink>
          </w:p>
        </w:tc>
        <w:tc>
          <w:tcPr>
            <w:tcW w:w="50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40" w:type="dxa"/>
            <w:vAlign w:val="bottom"/>
            <w:tcBorders>
              <w:bottom w:val="single" w:sz="8" w:color="0000EE"/>
            </w:tcBorders>
            <w:gridSpan w:val="13"/>
            <w:shd w:val="clear" w:color="auto" w:fill="CCEEFF"/>
          </w:tcPr>
          <w:p>
            <w:pPr>
              <w:spacing w:after="0" w:line="163" w:lineRule="exact"/>
              <w:rPr>
                <w:rFonts w:ascii="Arial" w:cs="Arial" w:eastAsia="Arial" w:hAnsi="Arial"/>
                <w:sz w:val="16"/>
                <w:szCs w:val="16"/>
                <w:color w:val="0000EE"/>
                <w:w w:val="93"/>
              </w:rPr>
            </w:pPr>
            <w:hyperlink w:anchor="page62">
              <w:r>
                <w:rPr>
                  <w:rFonts w:ascii="Arial" w:cs="Arial" w:eastAsia="Arial" w:hAnsi="Arial"/>
                  <w:sz w:val="16"/>
                  <w:szCs w:val="16"/>
                  <w:color w:val="0000EE"/>
                  <w:w w:val="93"/>
                </w:rPr>
                <w:t>UNRESOLVED SEC STAFF COMMENTS</w:t>
              </w:r>
            </w:hyperlink>
          </w:p>
        </w:tc>
        <w:tc>
          <w:tcPr>
            <w:tcW w:w="5140" w:type="dxa"/>
            <w:vAlign w:val="bottom"/>
            <w:tcBorders>
              <w:bottom w:val="single" w:sz="8" w:color="CCEEFF"/>
            </w:tcBorders>
            <w:gridSpan w:val="13"/>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50</w:t>
            </w:r>
          </w:p>
        </w:tc>
      </w:tr>
      <w:tr>
        <w:trPr>
          <w:trHeight w:val="155"/>
        </w:trPr>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4"/>
          </w:tcPr>
          <w:p>
            <w:pPr>
              <w:spacing w:after="0" w:line="155" w:lineRule="exact"/>
              <w:rPr>
                <w:rFonts w:ascii="Arial" w:cs="Arial" w:eastAsia="Arial" w:hAnsi="Arial"/>
                <w:sz w:val="16"/>
                <w:szCs w:val="16"/>
                <w:color w:val="0000EE"/>
              </w:rPr>
            </w:pPr>
            <w:hyperlink w:anchor="page63">
              <w:r>
                <w:rPr>
                  <w:rFonts w:ascii="Arial" w:cs="Arial" w:eastAsia="Arial" w:hAnsi="Arial"/>
                  <w:sz w:val="16"/>
                  <w:szCs w:val="16"/>
                  <w:color w:val="0000EE"/>
                </w:rPr>
                <w:t>Item 5.</w:t>
              </w:r>
            </w:hyperlink>
          </w:p>
        </w:tc>
        <w:tc>
          <w:tcPr>
            <w:tcW w:w="8080" w:type="dxa"/>
            <w:vAlign w:val="bottom"/>
            <w:gridSpan w:val="27"/>
          </w:tcPr>
          <w:p>
            <w:pPr>
              <w:ind w:left="100"/>
              <w:spacing w:after="0" w:line="155" w:lineRule="exact"/>
              <w:rPr>
                <w:rFonts w:ascii="Arial" w:cs="Arial" w:eastAsia="Arial" w:hAnsi="Arial"/>
                <w:sz w:val="16"/>
                <w:szCs w:val="16"/>
                <w:color w:val="0000EE"/>
              </w:rPr>
            </w:pPr>
            <w:hyperlink w:anchor="page63">
              <w:r>
                <w:rPr>
                  <w:rFonts w:ascii="Arial" w:cs="Arial" w:eastAsia="Arial" w:hAnsi="Arial"/>
                  <w:sz w:val="16"/>
                  <w:szCs w:val="16"/>
                  <w:color w:val="0000EE"/>
                </w:rPr>
                <w:t>OPERATING AND FINANCIAL REVIEW AND PROSPECTS</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51</w:t>
            </w:r>
          </w:p>
        </w:tc>
      </w:tr>
      <w:tr>
        <w:trPr>
          <w:trHeight w:val="28"/>
        </w:trPr>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20" w:type="dxa"/>
            <w:vAlign w:val="bottom"/>
            <w:tcBorders>
              <w:left w:val="single" w:sz="8" w:color="0000EE"/>
              <w:right w:val="single" w:sz="8" w:color="0000EE"/>
            </w:tcBorders>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63"/>
        </w:trPr>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spacing w:after="0" w:line="163" w:lineRule="exact"/>
              <w:rPr>
                <w:rFonts w:ascii="Arial" w:cs="Arial" w:eastAsia="Arial" w:hAnsi="Arial"/>
                <w:sz w:val="16"/>
                <w:szCs w:val="16"/>
                <w:color w:val="0000EE"/>
              </w:rPr>
            </w:pPr>
            <w:hyperlink w:anchor="page92">
              <w:r>
                <w:rPr>
                  <w:rFonts w:ascii="Arial" w:cs="Arial" w:eastAsia="Arial" w:hAnsi="Arial"/>
                  <w:sz w:val="16"/>
                  <w:szCs w:val="16"/>
                  <w:color w:val="0000EE"/>
                </w:rPr>
                <w:t>Item 6.</w:t>
              </w:r>
            </w:hyperlink>
          </w:p>
        </w:tc>
        <w:tc>
          <w:tcPr>
            <w:tcW w:w="8080" w:type="dxa"/>
            <w:vAlign w:val="bottom"/>
            <w:gridSpan w:val="27"/>
            <w:shd w:val="clear" w:color="auto" w:fill="CCEEFF"/>
          </w:tcPr>
          <w:p>
            <w:pPr>
              <w:ind w:left="100"/>
              <w:spacing w:after="0" w:line="163" w:lineRule="exact"/>
              <w:rPr>
                <w:rFonts w:ascii="Arial" w:cs="Arial" w:eastAsia="Arial" w:hAnsi="Arial"/>
                <w:sz w:val="16"/>
                <w:szCs w:val="16"/>
                <w:color w:val="0000EE"/>
              </w:rPr>
            </w:pPr>
            <w:hyperlink w:anchor="page92">
              <w:r>
                <w:rPr>
                  <w:rFonts w:ascii="Arial" w:cs="Arial" w:eastAsia="Arial" w:hAnsi="Arial"/>
                  <w:sz w:val="16"/>
                  <w:szCs w:val="16"/>
                  <w:color w:val="0000EE"/>
                </w:rPr>
                <w:t>DIRECTORS, SENIOR MANAGEMENT AND EMPLOYEES</w:t>
              </w:r>
            </w:hyperlink>
          </w:p>
        </w:tc>
        <w:tc>
          <w:tcPr>
            <w:tcW w:w="1580" w:type="dxa"/>
            <w:vAlign w:val="bottom"/>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80</w:t>
            </w:r>
          </w:p>
        </w:tc>
      </w:tr>
      <w:tr>
        <w:trPr>
          <w:trHeight w:val="36"/>
        </w:trPr>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620" w:type="dxa"/>
            <w:vAlign w:val="bottom"/>
            <w:tcBorders>
              <w:left w:val="single" w:sz="8" w:color="0000EE"/>
              <w:right w:val="single" w:sz="8" w:color="CCEEFF"/>
            </w:tcBorders>
            <w:shd w:val="clear" w:color="auto" w:fill="0000EE"/>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r>
        <w:trPr>
          <w:trHeight w:val="155"/>
        </w:trPr>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4"/>
          </w:tcPr>
          <w:p>
            <w:pPr>
              <w:spacing w:after="0" w:line="155" w:lineRule="exact"/>
              <w:rPr>
                <w:rFonts w:ascii="Arial" w:cs="Arial" w:eastAsia="Arial" w:hAnsi="Arial"/>
                <w:sz w:val="16"/>
                <w:szCs w:val="16"/>
                <w:color w:val="0000EE"/>
              </w:rPr>
            </w:pPr>
            <w:hyperlink w:anchor="page99">
              <w:r>
                <w:rPr>
                  <w:rFonts w:ascii="Arial" w:cs="Arial" w:eastAsia="Arial" w:hAnsi="Arial"/>
                  <w:sz w:val="16"/>
                  <w:szCs w:val="16"/>
                  <w:color w:val="0000EE"/>
                </w:rPr>
                <w:t>Item 7.</w:t>
              </w:r>
            </w:hyperlink>
          </w:p>
        </w:tc>
        <w:tc>
          <w:tcPr>
            <w:tcW w:w="8080" w:type="dxa"/>
            <w:vAlign w:val="bottom"/>
            <w:gridSpan w:val="27"/>
          </w:tcPr>
          <w:p>
            <w:pPr>
              <w:ind w:left="100"/>
              <w:spacing w:after="0" w:line="155" w:lineRule="exact"/>
              <w:rPr>
                <w:rFonts w:ascii="Arial" w:cs="Arial" w:eastAsia="Arial" w:hAnsi="Arial"/>
                <w:sz w:val="16"/>
                <w:szCs w:val="16"/>
                <w:color w:val="0000EE"/>
              </w:rPr>
            </w:pPr>
            <w:hyperlink w:anchor="page99">
              <w:r>
                <w:rPr>
                  <w:rFonts w:ascii="Arial" w:cs="Arial" w:eastAsia="Arial" w:hAnsi="Arial"/>
                  <w:sz w:val="16"/>
                  <w:szCs w:val="16"/>
                  <w:color w:val="0000EE"/>
                </w:rPr>
                <w:t>MAJOR SHAREHOLDERS AND RELATED-PARTY TRANSACTIONS</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87</w:t>
            </w:r>
          </w:p>
        </w:tc>
      </w:tr>
      <w:tr>
        <w:trPr>
          <w:trHeight w:val="28"/>
        </w:trPr>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20" w:type="dxa"/>
            <w:vAlign w:val="bottom"/>
            <w:tcBorders>
              <w:left w:val="single" w:sz="8" w:color="0000EE"/>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63"/>
        </w:trPr>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spacing w:after="0" w:line="163" w:lineRule="exact"/>
              <w:rPr>
                <w:rFonts w:ascii="Arial" w:cs="Arial" w:eastAsia="Arial" w:hAnsi="Arial"/>
                <w:sz w:val="16"/>
                <w:szCs w:val="16"/>
                <w:color w:val="0000EE"/>
              </w:rPr>
            </w:pPr>
            <w:hyperlink w:anchor="page104">
              <w:r>
                <w:rPr>
                  <w:rFonts w:ascii="Arial" w:cs="Arial" w:eastAsia="Arial" w:hAnsi="Arial"/>
                  <w:sz w:val="16"/>
                  <w:szCs w:val="16"/>
                  <w:color w:val="0000EE"/>
                </w:rPr>
                <w:t>Item 8.</w:t>
              </w:r>
            </w:hyperlink>
          </w:p>
        </w:tc>
        <w:tc>
          <w:tcPr>
            <w:tcW w:w="8080" w:type="dxa"/>
            <w:vAlign w:val="bottom"/>
            <w:gridSpan w:val="27"/>
            <w:shd w:val="clear" w:color="auto" w:fill="CCEEFF"/>
          </w:tcPr>
          <w:p>
            <w:pPr>
              <w:ind w:left="100"/>
              <w:spacing w:after="0" w:line="163" w:lineRule="exact"/>
              <w:rPr>
                <w:rFonts w:ascii="Arial" w:cs="Arial" w:eastAsia="Arial" w:hAnsi="Arial"/>
                <w:sz w:val="16"/>
                <w:szCs w:val="16"/>
                <w:color w:val="0000EE"/>
              </w:rPr>
            </w:pPr>
            <w:hyperlink w:anchor="page104">
              <w:r>
                <w:rPr>
                  <w:rFonts w:ascii="Arial" w:cs="Arial" w:eastAsia="Arial" w:hAnsi="Arial"/>
                  <w:sz w:val="16"/>
                  <w:szCs w:val="16"/>
                  <w:color w:val="0000EE"/>
                </w:rPr>
                <w:t>FINANCIAL INFORMATION</w:t>
              </w:r>
            </w:hyperlink>
          </w:p>
        </w:tc>
        <w:tc>
          <w:tcPr>
            <w:tcW w:w="1580" w:type="dxa"/>
            <w:vAlign w:val="bottom"/>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92</w:t>
            </w:r>
          </w:p>
        </w:tc>
      </w:tr>
      <w:tr>
        <w:trPr>
          <w:trHeight w:val="36"/>
        </w:trPr>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20" w:type="dxa"/>
            <w:vAlign w:val="bottom"/>
            <w:tcBorders>
              <w:left w:val="single" w:sz="8" w:color="CCEEFF"/>
              <w:right w:val="single" w:sz="8" w:color="CCEEFF"/>
            </w:tcBorders>
            <w:shd w:val="clear" w:color="auto" w:fill="CCEEFF"/>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r>
        <w:trPr>
          <w:trHeight w:val="155"/>
        </w:trPr>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4"/>
          </w:tcPr>
          <w:p>
            <w:pPr>
              <w:spacing w:after="0" w:line="155" w:lineRule="exact"/>
              <w:rPr>
                <w:rFonts w:ascii="Arial" w:cs="Arial" w:eastAsia="Arial" w:hAnsi="Arial"/>
                <w:sz w:val="16"/>
                <w:szCs w:val="16"/>
                <w:color w:val="0000EE"/>
              </w:rPr>
            </w:pPr>
            <w:hyperlink w:anchor="page105">
              <w:r>
                <w:rPr>
                  <w:rFonts w:ascii="Arial" w:cs="Arial" w:eastAsia="Arial" w:hAnsi="Arial"/>
                  <w:sz w:val="16"/>
                  <w:szCs w:val="16"/>
                  <w:color w:val="0000EE"/>
                </w:rPr>
                <w:t>Item 9.</w:t>
              </w:r>
            </w:hyperlink>
          </w:p>
        </w:tc>
        <w:tc>
          <w:tcPr>
            <w:tcW w:w="8080" w:type="dxa"/>
            <w:vAlign w:val="bottom"/>
            <w:gridSpan w:val="27"/>
          </w:tcPr>
          <w:p>
            <w:pPr>
              <w:ind w:left="100"/>
              <w:spacing w:after="0" w:line="155" w:lineRule="exact"/>
              <w:rPr>
                <w:rFonts w:ascii="Arial" w:cs="Arial" w:eastAsia="Arial" w:hAnsi="Arial"/>
                <w:sz w:val="16"/>
                <w:szCs w:val="16"/>
                <w:color w:val="0000EE"/>
              </w:rPr>
            </w:pPr>
            <w:hyperlink w:anchor="page105">
              <w:r>
                <w:rPr>
                  <w:rFonts w:ascii="Arial" w:cs="Arial" w:eastAsia="Arial" w:hAnsi="Arial"/>
                  <w:sz w:val="16"/>
                  <w:szCs w:val="16"/>
                  <w:color w:val="0000EE"/>
                </w:rPr>
                <w:t>THE OFFER AND LISTING</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93</w:t>
            </w:r>
          </w:p>
        </w:tc>
      </w:tr>
      <w:tr>
        <w:trPr>
          <w:trHeight w:val="28"/>
        </w:trPr>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79"/>
        </w:trPr>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0000EE"/>
            </w:tcBorders>
            <w:gridSpan w:val="2"/>
            <w:shd w:val="clear" w:color="auto" w:fill="CCEEFF"/>
          </w:tcPr>
          <w:p>
            <w:pPr>
              <w:spacing w:after="0" w:line="163" w:lineRule="exact"/>
              <w:rPr>
                <w:rFonts w:ascii="Arial" w:cs="Arial" w:eastAsia="Arial" w:hAnsi="Arial"/>
                <w:sz w:val="16"/>
                <w:szCs w:val="16"/>
                <w:color w:val="0000EE"/>
                <w:w w:val="86"/>
              </w:rPr>
            </w:pPr>
            <w:hyperlink w:anchor="page105">
              <w:r>
                <w:rPr>
                  <w:rFonts w:ascii="Arial" w:cs="Arial" w:eastAsia="Arial" w:hAnsi="Arial"/>
                  <w:sz w:val="16"/>
                  <w:szCs w:val="16"/>
                  <w:color w:val="0000EE"/>
                  <w:w w:val="86"/>
                </w:rPr>
                <w:t>Item 10.</w:t>
              </w:r>
            </w:hyperlink>
          </w:p>
        </w:tc>
        <w:tc>
          <w:tcPr>
            <w:tcW w:w="50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40" w:type="dxa"/>
            <w:vAlign w:val="bottom"/>
            <w:tcBorders>
              <w:bottom w:val="single" w:sz="8" w:color="0000EE"/>
            </w:tcBorders>
            <w:gridSpan w:val="11"/>
            <w:shd w:val="clear" w:color="auto" w:fill="CCEEFF"/>
          </w:tcPr>
          <w:p>
            <w:pPr>
              <w:spacing w:after="0" w:line="163" w:lineRule="exact"/>
              <w:rPr>
                <w:rFonts w:ascii="Arial" w:cs="Arial" w:eastAsia="Arial" w:hAnsi="Arial"/>
                <w:sz w:val="16"/>
                <w:szCs w:val="16"/>
                <w:color w:val="0000EE"/>
                <w:w w:val="99"/>
              </w:rPr>
            </w:pPr>
            <w:hyperlink w:anchor="page105">
              <w:r>
                <w:rPr>
                  <w:rFonts w:ascii="Arial" w:cs="Arial" w:eastAsia="Arial" w:hAnsi="Arial"/>
                  <w:sz w:val="16"/>
                  <w:szCs w:val="16"/>
                  <w:color w:val="0000EE"/>
                  <w:w w:val="99"/>
                </w:rPr>
                <w:t>ADDITIONAL INFORMATION</w:t>
              </w:r>
            </w:hyperlink>
          </w:p>
        </w:tc>
        <w:tc>
          <w:tcPr>
            <w:tcW w:w="5840" w:type="dxa"/>
            <w:vAlign w:val="bottom"/>
            <w:tcBorders>
              <w:bottom w:val="single" w:sz="8" w:color="CCEEFF"/>
            </w:tcBorders>
            <w:gridSpan w:val="15"/>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93</w:t>
            </w:r>
          </w:p>
        </w:tc>
      </w:tr>
      <w:tr>
        <w:trPr>
          <w:trHeight w:val="163"/>
        </w:trPr>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gridSpan w:val="2"/>
          </w:tcPr>
          <w:p>
            <w:pPr>
              <w:spacing w:after="0" w:line="155" w:lineRule="exact"/>
              <w:rPr>
                <w:rFonts w:ascii="Arial" w:cs="Arial" w:eastAsia="Arial" w:hAnsi="Arial"/>
                <w:sz w:val="16"/>
                <w:szCs w:val="16"/>
                <w:color w:val="0000EE"/>
                <w:w w:val="86"/>
              </w:rPr>
            </w:pPr>
            <w:hyperlink w:anchor="page116">
              <w:r>
                <w:rPr>
                  <w:rFonts w:ascii="Arial" w:cs="Arial" w:eastAsia="Arial" w:hAnsi="Arial"/>
                  <w:sz w:val="16"/>
                  <w:szCs w:val="16"/>
                  <w:color w:val="0000EE"/>
                  <w:w w:val="86"/>
                </w:rPr>
                <w:t>Item 11.</w:t>
              </w:r>
            </w:hyperlink>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980" w:type="dxa"/>
            <w:vAlign w:val="bottom"/>
            <w:gridSpan w:val="26"/>
          </w:tcPr>
          <w:p>
            <w:pPr>
              <w:spacing w:after="0" w:line="155" w:lineRule="exact"/>
              <w:rPr>
                <w:rFonts w:ascii="Arial" w:cs="Arial" w:eastAsia="Arial" w:hAnsi="Arial"/>
                <w:sz w:val="16"/>
                <w:szCs w:val="16"/>
                <w:color w:val="0000EE"/>
              </w:rPr>
            </w:pPr>
            <w:hyperlink w:anchor="page116">
              <w:r>
                <w:rPr>
                  <w:rFonts w:ascii="Arial" w:cs="Arial" w:eastAsia="Arial" w:hAnsi="Arial"/>
                  <w:sz w:val="16"/>
                  <w:szCs w:val="16"/>
                  <w:color w:val="0000EE"/>
                </w:rPr>
                <w:t>QUANTITATIVE AND QUALITATIVE DISCLOSURES REGARDING MARKET RISK</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104</w:t>
            </w:r>
          </w:p>
        </w:tc>
      </w:tr>
      <w:tr>
        <w:trPr>
          <w:trHeight w:val="179"/>
        </w:trPr>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top w:val="single" w:sz="8" w:color="0000EE"/>
              <w:bottom w:val="single" w:sz="8" w:color="0000EE"/>
            </w:tcBorders>
            <w:gridSpan w:val="2"/>
            <w:shd w:val="clear" w:color="auto" w:fill="CCEEFF"/>
          </w:tcPr>
          <w:p>
            <w:pPr>
              <w:spacing w:after="0" w:line="163" w:lineRule="exact"/>
              <w:rPr>
                <w:rFonts w:ascii="Arial" w:cs="Arial" w:eastAsia="Arial" w:hAnsi="Arial"/>
                <w:sz w:val="16"/>
                <w:szCs w:val="16"/>
                <w:color w:val="0000EE"/>
                <w:w w:val="86"/>
              </w:rPr>
            </w:pPr>
            <w:hyperlink w:anchor="page117">
              <w:r>
                <w:rPr>
                  <w:rFonts w:ascii="Arial" w:cs="Arial" w:eastAsia="Arial" w:hAnsi="Arial"/>
                  <w:sz w:val="16"/>
                  <w:szCs w:val="16"/>
                  <w:color w:val="0000EE"/>
                  <w:w w:val="86"/>
                </w:rPr>
                <w:t>Item 12.</w:t>
              </w:r>
            </w:hyperlink>
          </w:p>
        </w:tc>
        <w:tc>
          <w:tcPr>
            <w:tcW w:w="50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60" w:type="dxa"/>
            <w:vAlign w:val="bottom"/>
            <w:tcBorders>
              <w:top w:val="single" w:sz="8" w:color="0000EE"/>
              <w:bottom w:val="single" w:sz="8" w:color="0000EE"/>
            </w:tcBorders>
            <w:gridSpan w:val="19"/>
            <w:shd w:val="clear" w:color="auto" w:fill="CCEEFF"/>
          </w:tcPr>
          <w:p>
            <w:pPr>
              <w:spacing w:after="0" w:line="163" w:lineRule="exact"/>
              <w:rPr>
                <w:rFonts w:ascii="Arial" w:cs="Arial" w:eastAsia="Arial" w:hAnsi="Arial"/>
                <w:sz w:val="16"/>
                <w:szCs w:val="16"/>
                <w:color w:val="0000EE"/>
                <w:w w:val="95"/>
              </w:rPr>
            </w:pPr>
            <w:hyperlink w:anchor="page117">
              <w:r>
                <w:rPr>
                  <w:rFonts w:ascii="Arial" w:cs="Arial" w:eastAsia="Arial" w:hAnsi="Arial"/>
                  <w:sz w:val="16"/>
                  <w:szCs w:val="16"/>
                  <w:color w:val="0000EE"/>
                  <w:w w:val="95"/>
                </w:rPr>
                <w:t>DESCRIPTION OF SECURITIES OTHER THAN EQUITY SECURITIES</w:t>
              </w:r>
            </w:hyperlink>
          </w:p>
        </w:tc>
        <w:tc>
          <w:tcPr>
            <w:tcW w:w="960" w:type="dxa"/>
            <w:vAlign w:val="bottom"/>
            <w:tcBorders>
              <w:top w:val="single" w:sz="8" w:color="0000EE"/>
              <w:bottom w:val="single" w:sz="8" w:color="CCEEFF"/>
            </w:tcBorders>
            <w:gridSpan w:val="3"/>
            <w:shd w:val="clear" w:color="auto" w:fill="CCEEFF"/>
          </w:tcPr>
          <w:p>
            <w:pPr>
              <w:spacing w:after="0"/>
              <w:rPr>
                <w:sz w:val="15"/>
                <w:szCs w:val="15"/>
                <w:color w:val="auto"/>
              </w:rPr>
            </w:pPr>
          </w:p>
        </w:tc>
        <w:tc>
          <w:tcPr>
            <w:tcW w:w="2160" w:type="dxa"/>
            <w:vAlign w:val="bottom"/>
            <w:tcBorders>
              <w:bottom w:val="single" w:sz="8" w:color="CCEEFF"/>
            </w:tcBorders>
            <w:gridSpan w:val="4"/>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105</w:t>
            </w:r>
          </w:p>
        </w:tc>
      </w:tr>
      <w:tr>
        <w:trPr>
          <w:trHeight w:val="155"/>
        </w:trPr>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gridSpan w:val="2"/>
          </w:tcPr>
          <w:p>
            <w:pPr>
              <w:spacing w:after="0" w:line="155" w:lineRule="exact"/>
              <w:rPr>
                <w:rFonts w:ascii="Arial" w:cs="Arial" w:eastAsia="Arial" w:hAnsi="Arial"/>
                <w:sz w:val="16"/>
                <w:szCs w:val="16"/>
                <w:color w:val="0000EE"/>
                <w:w w:val="86"/>
              </w:rPr>
            </w:pPr>
            <w:hyperlink w:anchor="page118">
              <w:r>
                <w:rPr>
                  <w:rFonts w:ascii="Arial" w:cs="Arial" w:eastAsia="Arial" w:hAnsi="Arial"/>
                  <w:sz w:val="16"/>
                  <w:szCs w:val="16"/>
                  <w:color w:val="0000EE"/>
                  <w:w w:val="86"/>
                </w:rPr>
                <w:t>Item 13.</w:t>
              </w:r>
            </w:hyperlink>
          </w:p>
        </w:tc>
        <w:tc>
          <w:tcPr>
            <w:tcW w:w="5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7980" w:type="dxa"/>
            <w:vAlign w:val="bottom"/>
            <w:gridSpan w:val="26"/>
          </w:tcPr>
          <w:p>
            <w:pPr>
              <w:spacing w:after="0" w:line="155" w:lineRule="exact"/>
              <w:rPr>
                <w:rFonts w:ascii="Arial" w:cs="Arial" w:eastAsia="Arial" w:hAnsi="Arial"/>
                <w:sz w:val="16"/>
                <w:szCs w:val="16"/>
                <w:color w:val="0000EE"/>
              </w:rPr>
            </w:pPr>
            <w:hyperlink w:anchor="page118">
              <w:r>
                <w:rPr>
                  <w:rFonts w:ascii="Arial" w:cs="Arial" w:eastAsia="Arial" w:hAnsi="Arial"/>
                  <w:sz w:val="16"/>
                  <w:szCs w:val="16"/>
                  <w:color w:val="0000EE"/>
                </w:rPr>
                <w:t>DEFAULTS, DIVIDEND ARREARAGES AND DELINQUENCIES</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106</w:t>
            </w:r>
          </w:p>
        </w:tc>
      </w:tr>
      <w:tr>
        <w:trPr>
          <w:trHeight w:val="28"/>
        </w:trPr>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20" w:type="dxa"/>
            <w:vAlign w:val="bottom"/>
            <w:tcBorders>
              <w:left w:val="single" w:sz="8" w:color="0000EE"/>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79"/>
        </w:trPr>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spacing w:after="0" w:line="163" w:lineRule="exact"/>
              <w:rPr>
                <w:rFonts w:ascii="Arial" w:cs="Arial" w:eastAsia="Arial" w:hAnsi="Arial"/>
                <w:sz w:val="16"/>
                <w:szCs w:val="16"/>
                <w:color w:val="0000EE"/>
                <w:w w:val="86"/>
              </w:rPr>
            </w:pPr>
            <w:hyperlink w:anchor="page118">
              <w:r>
                <w:rPr>
                  <w:rFonts w:ascii="Arial" w:cs="Arial" w:eastAsia="Arial" w:hAnsi="Arial"/>
                  <w:sz w:val="16"/>
                  <w:szCs w:val="16"/>
                  <w:color w:val="0000EE"/>
                  <w:w w:val="86"/>
                </w:rPr>
                <w:t>Item 14.</w:t>
              </w:r>
            </w:hyperlink>
          </w:p>
        </w:tc>
        <w:tc>
          <w:tcPr>
            <w:tcW w:w="500" w:type="dxa"/>
            <w:vAlign w:val="bottom"/>
            <w:tcBorders>
              <w:left w:val="single" w:sz="8" w:color="CCEEFF"/>
            </w:tcBorders>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980" w:type="dxa"/>
            <w:vAlign w:val="bottom"/>
            <w:gridSpan w:val="26"/>
            <w:shd w:val="clear" w:color="auto" w:fill="CCEEFF"/>
          </w:tcPr>
          <w:p>
            <w:pPr>
              <w:spacing w:after="0" w:line="163" w:lineRule="exact"/>
              <w:rPr>
                <w:rFonts w:ascii="Arial" w:cs="Arial" w:eastAsia="Arial" w:hAnsi="Arial"/>
                <w:sz w:val="16"/>
                <w:szCs w:val="16"/>
                <w:color w:val="0000EE"/>
              </w:rPr>
            </w:pPr>
            <w:hyperlink w:anchor="page118">
              <w:r>
                <w:rPr>
                  <w:rFonts w:ascii="Arial" w:cs="Arial" w:eastAsia="Arial" w:hAnsi="Arial"/>
                  <w:sz w:val="16"/>
                  <w:szCs w:val="16"/>
                  <w:color w:val="0000EE"/>
                </w:rPr>
                <w:t>MATERIAL MODIFICATIONS TO THE RIGHTS OF SECURITY HOLDERS AND USE OF PROCEEDS</w:t>
              </w:r>
            </w:hyperlink>
          </w:p>
        </w:tc>
        <w:tc>
          <w:tcPr>
            <w:tcW w:w="1580" w:type="dxa"/>
            <w:vAlign w:val="bottom"/>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106</w:t>
            </w:r>
          </w:p>
        </w:tc>
      </w:tr>
      <w:tr>
        <w:trPr>
          <w:trHeight w:val="155"/>
        </w:trPr>
        <w:tc>
          <w:tcPr>
            <w:tcW w:w="1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540" w:type="dxa"/>
            <w:vAlign w:val="bottom"/>
            <w:tcBorders>
              <w:top w:val="single" w:sz="8" w:color="0000EE"/>
            </w:tcBorders>
            <w:gridSpan w:val="2"/>
          </w:tcPr>
          <w:p>
            <w:pPr>
              <w:spacing w:after="0" w:line="155" w:lineRule="exact"/>
              <w:rPr>
                <w:rFonts w:ascii="Arial" w:cs="Arial" w:eastAsia="Arial" w:hAnsi="Arial"/>
                <w:sz w:val="16"/>
                <w:szCs w:val="16"/>
                <w:color w:val="0000EE"/>
                <w:w w:val="86"/>
              </w:rPr>
            </w:pPr>
            <w:hyperlink w:anchor="page118">
              <w:r>
                <w:rPr>
                  <w:rFonts w:ascii="Arial" w:cs="Arial" w:eastAsia="Arial" w:hAnsi="Arial"/>
                  <w:sz w:val="16"/>
                  <w:szCs w:val="16"/>
                  <w:color w:val="0000EE"/>
                  <w:w w:val="86"/>
                </w:rPr>
                <w:t>Item 15.</w:t>
              </w:r>
            </w:hyperlink>
          </w:p>
        </w:tc>
        <w:tc>
          <w:tcPr>
            <w:tcW w:w="500" w:type="dxa"/>
            <w:vAlign w:val="bottom"/>
            <w:tcBorders>
              <w:top w:val="single" w:sz="8" w:color="CCEEFF"/>
            </w:tcBorders>
            <w:gridSpan w:val="2"/>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960" w:type="dxa"/>
            <w:vAlign w:val="bottom"/>
            <w:tcBorders>
              <w:top w:val="single" w:sz="8" w:color="0000EE"/>
            </w:tcBorders>
            <w:gridSpan w:val="25"/>
          </w:tcPr>
          <w:p>
            <w:pPr>
              <w:spacing w:after="0" w:line="155" w:lineRule="exact"/>
              <w:rPr>
                <w:rFonts w:ascii="Arial" w:cs="Arial" w:eastAsia="Arial" w:hAnsi="Arial"/>
                <w:sz w:val="16"/>
                <w:szCs w:val="16"/>
                <w:color w:val="0000EE"/>
              </w:rPr>
            </w:pPr>
            <w:hyperlink w:anchor="page118">
              <w:r>
                <w:rPr>
                  <w:rFonts w:ascii="Arial" w:cs="Arial" w:eastAsia="Arial" w:hAnsi="Arial"/>
                  <w:sz w:val="16"/>
                  <w:szCs w:val="16"/>
                  <w:color w:val="0000EE"/>
                </w:rPr>
                <w:t>CONTROLS AND PROCEDURES</w:t>
              </w:r>
            </w:hyperlink>
          </w:p>
        </w:tc>
        <w:tc>
          <w:tcPr>
            <w:tcW w:w="1020" w:type="dxa"/>
            <w:vAlign w:val="bottom"/>
            <w:tcBorders>
              <w:top w:val="single" w:sz="8" w:color="CCEEFF"/>
            </w:tcBorders>
          </w:tcPr>
          <w:p>
            <w:pPr>
              <w:spacing w:after="0"/>
              <w:rPr>
                <w:sz w:val="13"/>
                <w:szCs w:val="13"/>
                <w:color w:val="auto"/>
              </w:rPr>
            </w:pPr>
          </w:p>
        </w:tc>
        <w:tc>
          <w:tcPr>
            <w:tcW w:w="1580" w:type="dxa"/>
            <w:vAlign w:val="bottom"/>
            <w:tcBorders>
              <w:top w:val="single" w:sz="8" w:color="CCEEFF"/>
            </w:tcBorders>
          </w:tcPr>
          <w:p>
            <w:pPr>
              <w:jc w:val="center"/>
              <w:ind w:left="580"/>
              <w:spacing w:after="0" w:line="155" w:lineRule="exact"/>
              <w:rPr>
                <w:sz w:val="20"/>
                <w:szCs w:val="20"/>
                <w:color w:val="auto"/>
              </w:rPr>
            </w:pPr>
            <w:r>
              <w:rPr>
                <w:rFonts w:ascii="Arial" w:cs="Arial" w:eastAsia="Arial" w:hAnsi="Arial"/>
                <w:sz w:val="16"/>
                <w:szCs w:val="16"/>
                <w:color w:val="auto"/>
                <w:w w:val="89"/>
              </w:rPr>
              <w:t>106</w:t>
            </w:r>
          </w:p>
        </w:tc>
      </w:tr>
      <w:tr>
        <w:trPr>
          <w:trHeight w:val="28"/>
        </w:trPr>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79"/>
        </w:trPr>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0000EE"/>
              <w:right w:val="single" w:sz="8" w:color="CCEEFF"/>
            </w:tcBorders>
            <w:gridSpan w:val="3"/>
            <w:shd w:val="clear" w:color="auto" w:fill="CCEEFF"/>
          </w:tcPr>
          <w:p>
            <w:pPr>
              <w:spacing w:after="0" w:line="163" w:lineRule="exact"/>
              <w:rPr>
                <w:rFonts w:ascii="Arial" w:cs="Arial" w:eastAsia="Arial" w:hAnsi="Arial"/>
                <w:sz w:val="16"/>
                <w:szCs w:val="16"/>
                <w:color w:val="0000EE"/>
                <w:w w:val="92"/>
              </w:rPr>
            </w:pPr>
            <w:hyperlink w:anchor="page119">
              <w:r>
                <w:rPr>
                  <w:rFonts w:ascii="Arial" w:cs="Arial" w:eastAsia="Arial" w:hAnsi="Arial"/>
                  <w:sz w:val="16"/>
                  <w:szCs w:val="16"/>
                  <w:color w:val="0000EE"/>
                  <w:w w:val="92"/>
                </w:rPr>
                <w:t>ITEM 16.</w:t>
              </w:r>
            </w:hyperlink>
          </w:p>
        </w:tc>
        <w:tc>
          <w:tcPr>
            <w:tcW w:w="400" w:type="dxa"/>
            <w:vAlign w:val="bottom"/>
            <w:tcBorders>
              <w:left w:val="single" w:sz="8" w:color="CCEEFF"/>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0000EE"/>
            </w:tcBorders>
            <w:gridSpan w:val="4"/>
            <w:shd w:val="clear" w:color="auto" w:fill="CCEEFF"/>
          </w:tcPr>
          <w:p>
            <w:pPr>
              <w:spacing w:after="0" w:line="163" w:lineRule="exact"/>
              <w:rPr>
                <w:rFonts w:ascii="Arial" w:cs="Arial" w:eastAsia="Arial" w:hAnsi="Arial"/>
                <w:sz w:val="16"/>
                <w:szCs w:val="16"/>
                <w:color w:val="0000EE"/>
                <w:w w:val="90"/>
              </w:rPr>
            </w:pPr>
            <w:hyperlink w:anchor="page119">
              <w:r>
                <w:rPr>
                  <w:rFonts w:ascii="Arial" w:cs="Arial" w:eastAsia="Arial" w:hAnsi="Arial"/>
                  <w:sz w:val="16"/>
                  <w:szCs w:val="16"/>
                  <w:color w:val="0000EE"/>
                  <w:w w:val="90"/>
                </w:rPr>
                <w:t>RESERVED</w:t>
              </w:r>
            </w:hyperlink>
          </w:p>
        </w:tc>
        <w:tc>
          <w:tcPr>
            <w:tcW w:w="7160" w:type="dxa"/>
            <w:vAlign w:val="bottom"/>
            <w:tcBorders>
              <w:bottom w:val="single" w:sz="8" w:color="CCEEFF"/>
            </w:tcBorders>
            <w:gridSpan w:val="22"/>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107</w:t>
            </w:r>
          </w:p>
        </w:tc>
      </w:tr>
      <w:tr>
        <w:trPr>
          <w:trHeight w:val="163"/>
        </w:trPr>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Borders>
              <w:bottom w:val="single" w:sz="8" w:color="0000EE"/>
            </w:tcBorders>
            <w:gridSpan w:val="3"/>
          </w:tcPr>
          <w:p>
            <w:pPr>
              <w:spacing w:after="0" w:line="155" w:lineRule="exact"/>
              <w:rPr>
                <w:rFonts w:ascii="Arial" w:cs="Arial" w:eastAsia="Arial" w:hAnsi="Arial"/>
                <w:sz w:val="16"/>
                <w:szCs w:val="16"/>
                <w:color w:val="0000EE"/>
                <w:w w:val="87"/>
              </w:rPr>
            </w:pPr>
            <w:hyperlink w:anchor="page119">
              <w:r>
                <w:rPr>
                  <w:rFonts w:ascii="Arial" w:cs="Arial" w:eastAsia="Arial" w:hAnsi="Arial"/>
                  <w:sz w:val="16"/>
                  <w:szCs w:val="16"/>
                  <w:color w:val="0000EE"/>
                  <w:w w:val="87"/>
                </w:rPr>
                <w:t>Item 16A.</w:t>
              </w:r>
            </w:hyperlink>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Borders>
              <w:bottom w:val="single" w:sz="8" w:color="0000EE"/>
            </w:tcBorders>
            <w:gridSpan w:val="14"/>
          </w:tcPr>
          <w:p>
            <w:pPr>
              <w:spacing w:after="0" w:line="155" w:lineRule="exact"/>
              <w:rPr>
                <w:rFonts w:ascii="Arial" w:cs="Arial" w:eastAsia="Arial" w:hAnsi="Arial"/>
                <w:sz w:val="16"/>
                <w:szCs w:val="16"/>
                <w:color w:val="0000EE"/>
                <w:w w:val="98"/>
              </w:rPr>
            </w:pPr>
            <w:hyperlink w:anchor="page119">
              <w:r>
                <w:rPr>
                  <w:rFonts w:ascii="Arial" w:cs="Arial" w:eastAsia="Arial" w:hAnsi="Arial"/>
                  <w:sz w:val="16"/>
                  <w:szCs w:val="16"/>
                  <w:color w:val="0000EE"/>
                  <w:w w:val="98"/>
                </w:rPr>
                <w:t>AUDIT COMMITTEE FINANCIAL EXPERT</w:t>
              </w:r>
            </w:hyperlink>
          </w:p>
        </w:tc>
        <w:tc>
          <w:tcPr>
            <w:tcW w:w="4960" w:type="dxa"/>
            <w:vAlign w:val="bottom"/>
            <w:gridSpan w:val="12"/>
          </w:tcPr>
          <w:p>
            <w:pPr>
              <w:spacing w:after="0"/>
              <w:rPr>
                <w:sz w:val="14"/>
                <w:szCs w:val="14"/>
                <w:color w:val="auto"/>
              </w:rPr>
            </w:pPr>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107</w:t>
            </w:r>
          </w:p>
        </w:tc>
      </w:tr>
      <w:tr>
        <w:trPr>
          <w:trHeight w:val="163"/>
        </w:trPr>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spacing w:after="0" w:line="163" w:lineRule="exact"/>
              <w:rPr>
                <w:rFonts w:ascii="Arial" w:cs="Arial" w:eastAsia="Arial" w:hAnsi="Arial"/>
                <w:sz w:val="16"/>
                <w:szCs w:val="16"/>
                <w:color w:val="0000EE"/>
              </w:rPr>
            </w:pPr>
            <w:hyperlink w:anchor="page119">
              <w:r>
                <w:rPr>
                  <w:rFonts w:ascii="Arial" w:cs="Arial" w:eastAsia="Arial" w:hAnsi="Arial"/>
                  <w:sz w:val="16"/>
                  <w:szCs w:val="16"/>
                  <w:color w:val="0000EE"/>
                </w:rPr>
                <w:t>Item 16B.</w:t>
              </w:r>
            </w:hyperlink>
          </w:p>
        </w:tc>
        <w:tc>
          <w:tcPr>
            <w:tcW w:w="8080" w:type="dxa"/>
            <w:vAlign w:val="bottom"/>
            <w:gridSpan w:val="27"/>
            <w:shd w:val="clear" w:color="auto" w:fill="CCEEFF"/>
          </w:tcPr>
          <w:p>
            <w:pPr>
              <w:ind w:left="100"/>
              <w:spacing w:after="0" w:line="163" w:lineRule="exact"/>
              <w:rPr>
                <w:rFonts w:ascii="Arial" w:cs="Arial" w:eastAsia="Arial" w:hAnsi="Arial"/>
                <w:sz w:val="16"/>
                <w:szCs w:val="16"/>
                <w:color w:val="0000EE"/>
              </w:rPr>
            </w:pPr>
            <w:hyperlink w:anchor="page119">
              <w:r>
                <w:rPr>
                  <w:rFonts w:ascii="Arial" w:cs="Arial" w:eastAsia="Arial" w:hAnsi="Arial"/>
                  <w:sz w:val="16"/>
                  <w:szCs w:val="16"/>
                  <w:color w:val="0000EE"/>
                </w:rPr>
                <w:t>CODE OF ETHICS</w:t>
              </w:r>
            </w:hyperlink>
          </w:p>
        </w:tc>
        <w:tc>
          <w:tcPr>
            <w:tcW w:w="1580" w:type="dxa"/>
            <w:vAlign w:val="bottom"/>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107</w:t>
            </w:r>
          </w:p>
        </w:tc>
      </w:tr>
      <w:tr>
        <w:trPr>
          <w:trHeight w:val="36"/>
        </w:trPr>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tcBorders>
              <w:left w:val="single" w:sz="8" w:color="0000EE"/>
              <w:right w:val="single" w:sz="8" w:color="0000EE"/>
            </w:tcBorders>
            <w:shd w:val="clear" w:color="auto" w:fill="0000EE"/>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20" w:type="dxa"/>
            <w:vAlign w:val="bottom"/>
            <w:tcBorders>
              <w:left w:val="single" w:sz="8" w:color="CCEEFF"/>
              <w:right w:val="single" w:sz="8" w:color="CCEEFF"/>
            </w:tcBorders>
            <w:shd w:val="clear" w:color="auto" w:fill="CCEEFF"/>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r>
        <w:trPr>
          <w:trHeight w:val="155"/>
        </w:trPr>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4"/>
          </w:tcPr>
          <w:p>
            <w:pPr>
              <w:spacing w:after="0" w:line="155" w:lineRule="exact"/>
              <w:rPr>
                <w:rFonts w:ascii="Arial" w:cs="Arial" w:eastAsia="Arial" w:hAnsi="Arial"/>
                <w:sz w:val="16"/>
                <w:szCs w:val="16"/>
                <w:color w:val="0000EE"/>
              </w:rPr>
            </w:pPr>
            <w:hyperlink w:anchor="page120">
              <w:r>
                <w:rPr>
                  <w:rFonts w:ascii="Arial" w:cs="Arial" w:eastAsia="Arial" w:hAnsi="Arial"/>
                  <w:sz w:val="16"/>
                  <w:szCs w:val="16"/>
                  <w:color w:val="0000EE"/>
                </w:rPr>
                <w:t>Item 16C.</w:t>
              </w:r>
            </w:hyperlink>
          </w:p>
        </w:tc>
        <w:tc>
          <w:tcPr>
            <w:tcW w:w="8080" w:type="dxa"/>
            <w:vAlign w:val="bottom"/>
            <w:gridSpan w:val="27"/>
          </w:tcPr>
          <w:p>
            <w:pPr>
              <w:ind w:left="100"/>
              <w:spacing w:after="0" w:line="155" w:lineRule="exact"/>
              <w:rPr>
                <w:rFonts w:ascii="Arial" w:cs="Arial" w:eastAsia="Arial" w:hAnsi="Arial"/>
                <w:sz w:val="16"/>
                <w:szCs w:val="16"/>
                <w:color w:val="0000EE"/>
              </w:rPr>
            </w:pPr>
            <w:hyperlink w:anchor="page120">
              <w:r>
                <w:rPr>
                  <w:rFonts w:ascii="Arial" w:cs="Arial" w:eastAsia="Arial" w:hAnsi="Arial"/>
                  <w:sz w:val="16"/>
                  <w:szCs w:val="16"/>
                  <w:color w:val="0000EE"/>
                </w:rPr>
                <w:t>PRINCIPAL ACCOUNTANT FEES AND SERVICES</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108</w:t>
            </w:r>
          </w:p>
        </w:tc>
      </w:tr>
      <w:tr>
        <w:trPr>
          <w:trHeight w:val="28"/>
        </w:trPr>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79"/>
        </w:trPr>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0000EE"/>
              <w:right w:val="single" w:sz="8" w:color="CCEEFF"/>
            </w:tcBorders>
            <w:gridSpan w:val="3"/>
            <w:shd w:val="clear" w:color="auto" w:fill="CCEEFF"/>
          </w:tcPr>
          <w:p>
            <w:pPr>
              <w:spacing w:after="0" w:line="163" w:lineRule="exact"/>
              <w:rPr>
                <w:rFonts w:ascii="Arial" w:cs="Arial" w:eastAsia="Arial" w:hAnsi="Arial"/>
                <w:sz w:val="16"/>
                <w:szCs w:val="16"/>
                <w:color w:val="0000EE"/>
                <w:w w:val="86"/>
              </w:rPr>
            </w:pPr>
            <w:hyperlink w:anchor="page121">
              <w:r>
                <w:rPr>
                  <w:rFonts w:ascii="Arial" w:cs="Arial" w:eastAsia="Arial" w:hAnsi="Arial"/>
                  <w:sz w:val="16"/>
                  <w:szCs w:val="16"/>
                  <w:color w:val="0000EE"/>
                  <w:w w:val="86"/>
                </w:rPr>
                <w:t>Item 16D.</w:t>
              </w:r>
            </w:hyperlink>
          </w:p>
        </w:tc>
        <w:tc>
          <w:tcPr>
            <w:tcW w:w="400" w:type="dxa"/>
            <w:vAlign w:val="bottom"/>
            <w:tcBorders>
              <w:left w:val="single" w:sz="8" w:color="CCEEFF"/>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60" w:type="dxa"/>
            <w:vAlign w:val="bottom"/>
            <w:tcBorders>
              <w:bottom w:val="single" w:sz="8" w:color="0000EE"/>
            </w:tcBorders>
            <w:gridSpan w:val="21"/>
            <w:shd w:val="clear" w:color="auto" w:fill="CCEEFF"/>
          </w:tcPr>
          <w:p>
            <w:pPr>
              <w:spacing w:after="0" w:line="163" w:lineRule="exact"/>
              <w:rPr>
                <w:rFonts w:ascii="Arial" w:cs="Arial" w:eastAsia="Arial" w:hAnsi="Arial"/>
                <w:sz w:val="16"/>
                <w:szCs w:val="16"/>
                <w:color w:val="0000EE"/>
                <w:w w:val="96"/>
              </w:rPr>
            </w:pPr>
            <w:hyperlink w:anchor="page121">
              <w:r>
                <w:rPr>
                  <w:rFonts w:ascii="Arial" w:cs="Arial" w:eastAsia="Arial" w:hAnsi="Arial"/>
                  <w:sz w:val="16"/>
                  <w:szCs w:val="16"/>
                  <w:color w:val="0000EE"/>
                  <w:w w:val="96"/>
                </w:rPr>
                <w:t>EXEMPTIONS FROM THE LISTING STANDARDS FOR AUDIT COMMITTEES</w:t>
              </w:r>
            </w:hyperlink>
          </w:p>
        </w:tc>
        <w:tc>
          <w:tcPr>
            <w:tcW w:w="2520" w:type="dxa"/>
            <w:vAlign w:val="bottom"/>
            <w:tcBorders>
              <w:bottom w:val="single" w:sz="8" w:color="CCEEFF"/>
            </w:tcBorders>
            <w:gridSpan w:val="5"/>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109</w:t>
            </w:r>
          </w:p>
        </w:tc>
      </w:tr>
      <w:tr>
        <w:trPr>
          <w:trHeight w:val="163"/>
        </w:trPr>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Borders>
              <w:bottom w:val="single" w:sz="8" w:color="0000EE"/>
            </w:tcBorders>
            <w:gridSpan w:val="3"/>
          </w:tcPr>
          <w:p>
            <w:pPr>
              <w:spacing w:after="0" w:line="155" w:lineRule="exact"/>
              <w:rPr>
                <w:rFonts w:ascii="Arial" w:cs="Arial" w:eastAsia="Arial" w:hAnsi="Arial"/>
                <w:sz w:val="16"/>
                <w:szCs w:val="16"/>
                <w:color w:val="0000EE"/>
                <w:w w:val="87"/>
              </w:rPr>
            </w:pPr>
            <w:hyperlink w:anchor="page121">
              <w:r>
                <w:rPr>
                  <w:rFonts w:ascii="Arial" w:cs="Arial" w:eastAsia="Arial" w:hAnsi="Arial"/>
                  <w:sz w:val="16"/>
                  <w:szCs w:val="16"/>
                  <w:color w:val="0000EE"/>
                  <w:w w:val="87"/>
                </w:rPr>
                <w:t>Item 16E.</w:t>
              </w:r>
            </w:hyperlink>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40" w:type="dxa"/>
            <w:vAlign w:val="bottom"/>
            <w:tcBorders>
              <w:bottom w:val="single" w:sz="8" w:color="0000EE"/>
            </w:tcBorders>
            <w:gridSpan w:val="24"/>
          </w:tcPr>
          <w:p>
            <w:pPr>
              <w:spacing w:after="0" w:line="155" w:lineRule="exact"/>
              <w:rPr>
                <w:rFonts w:ascii="Arial" w:cs="Arial" w:eastAsia="Arial" w:hAnsi="Arial"/>
                <w:sz w:val="16"/>
                <w:szCs w:val="16"/>
                <w:color w:val="0000EE"/>
                <w:w w:val="94"/>
              </w:rPr>
            </w:pPr>
            <w:hyperlink w:anchor="page121">
              <w:r>
                <w:rPr>
                  <w:rFonts w:ascii="Arial" w:cs="Arial" w:eastAsia="Arial" w:hAnsi="Arial"/>
                  <w:sz w:val="16"/>
                  <w:szCs w:val="16"/>
                  <w:color w:val="0000EE"/>
                  <w:w w:val="94"/>
                </w:rPr>
                <w:t>PURCHASES OF EQUITY SECURITIES BY THE ISSUER AND AFFILIATED PURCHASERS</w:t>
              </w:r>
            </w:hyperlink>
          </w:p>
        </w:tc>
        <w:tc>
          <w:tcPr>
            <w:tcW w:w="1640" w:type="dxa"/>
            <w:vAlign w:val="bottom"/>
            <w:gridSpan w:val="2"/>
          </w:tcPr>
          <w:p>
            <w:pPr>
              <w:spacing w:after="0"/>
              <w:rPr>
                <w:sz w:val="14"/>
                <w:szCs w:val="14"/>
                <w:color w:val="auto"/>
              </w:rPr>
            </w:pPr>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109</w:t>
            </w:r>
          </w:p>
        </w:tc>
      </w:tr>
      <w:tr>
        <w:trPr>
          <w:trHeight w:val="179"/>
        </w:trPr>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0000EE"/>
              <w:right w:val="single" w:sz="8" w:color="CCEEFF"/>
            </w:tcBorders>
            <w:gridSpan w:val="3"/>
            <w:shd w:val="clear" w:color="auto" w:fill="CCEEFF"/>
          </w:tcPr>
          <w:p>
            <w:pPr>
              <w:spacing w:after="0" w:line="163" w:lineRule="exact"/>
              <w:rPr>
                <w:rFonts w:ascii="Arial" w:cs="Arial" w:eastAsia="Arial" w:hAnsi="Arial"/>
                <w:sz w:val="16"/>
                <w:szCs w:val="16"/>
                <w:color w:val="0000EE"/>
                <w:w w:val="88"/>
              </w:rPr>
            </w:pPr>
            <w:hyperlink w:anchor="page121">
              <w:r>
                <w:rPr>
                  <w:rFonts w:ascii="Arial" w:cs="Arial" w:eastAsia="Arial" w:hAnsi="Arial"/>
                  <w:sz w:val="16"/>
                  <w:szCs w:val="16"/>
                  <w:color w:val="0000EE"/>
                  <w:w w:val="88"/>
                </w:rPr>
                <w:t>Item 16F.</w:t>
              </w:r>
            </w:hyperlink>
          </w:p>
        </w:tc>
        <w:tc>
          <w:tcPr>
            <w:tcW w:w="400" w:type="dxa"/>
            <w:vAlign w:val="bottom"/>
            <w:tcBorders>
              <w:left w:val="single" w:sz="8" w:color="CCEEFF"/>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140" w:type="dxa"/>
            <w:vAlign w:val="bottom"/>
            <w:tcBorders>
              <w:bottom w:val="single" w:sz="8" w:color="0000EE"/>
              <w:right w:val="single" w:sz="8" w:color="CCEEFF"/>
            </w:tcBorders>
            <w:gridSpan w:val="16"/>
            <w:shd w:val="clear" w:color="auto" w:fill="CCEEFF"/>
          </w:tcPr>
          <w:p>
            <w:pPr>
              <w:spacing w:after="0" w:line="163" w:lineRule="exact"/>
              <w:rPr>
                <w:rFonts w:ascii="Arial" w:cs="Arial" w:eastAsia="Arial" w:hAnsi="Arial"/>
                <w:sz w:val="16"/>
                <w:szCs w:val="16"/>
                <w:color w:val="0000EE"/>
                <w:w w:val="94"/>
              </w:rPr>
            </w:pPr>
            <w:hyperlink w:anchor="page121">
              <w:r>
                <w:rPr>
                  <w:rFonts w:ascii="Arial" w:cs="Arial" w:eastAsia="Arial" w:hAnsi="Arial"/>
                  <w:sz w:val="16"/>
                  <w:szCs w:val="16"/>
                  <w:color w:val="0000EE"/>
                  <w:w w:val="94"/>
                </w:rPr>
                <w:t>CHANGE IN REGISTRANT’S CERTIFYING ACCOUNTANT.</w:t>
              </w:r>
            </w:hyperlink>
          </w:p>
        </w:tc>
        <w:tc>
          <w:tcPr>
            <w:tcW w:w="3840" w:type="dxa"/>
            <w:vAlign w:val="bottom"/>
            <w:tcBorders>
              <w:left w:val="single" w:sz="8" w:color="CCEEFF"/>
              <w:bottom w:val="single" w:sz="8" w:color="CCEEFF"/>
            </w:tcBorders>
            <w:gridSpan w:val="10"/>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109</w:t>
            </w:r>
          </w:p>
        </w:tc>
      </w:tr>
      <w:tr>
        <w:trPr>
          <w:trHeight w:val="163"/>
        </w:trPr>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Borders>
              <w:bottom w:val="single" w:sz="8" w:color="0000EE"/>
            </w:tcBorders>
            <w:gridSpan w:val="3"/>
          </w:tcPr>
          <w:p>
            <w:pPr>
              <w:spacing w:after="0" w:line="155" w:lineRule="exact"/>
              <w:rPr>
                <w:rFonts w:ascii="Arial" w:cs="Arial" w:eastAsia="Arial" w:hAnsi="Arial"/>
                <w:sz w:val="16"/>
                <w:szCs w:val="16"/>
                <w:color w:val="0000EE"/>
                <w:w w:val="85"/>
              </w:rPr>
            </w:pPr>
            <w:hyperlink w:anchor="page121">
              <w:r>
                <w:rPr>
                  <w:rFonts w:ascii="Arial" w:cs="Arial" w:eastAsia="Arial" w:hAnsi="Arial"/>
                  <w:sz w:val="16"/>
                  <w:szCs w:val="16"/>
                  <w:color w:val="0000EE"/>
                  <w:w w:val="85"/>
                </w:rPr>
                <w:t>Item 16G.</w:t>
              </w:r>
            </w:hyperlink>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Borders>
              <w:bottom w:val="single" w:sz="8" w:color="0000EE"/>
            </w:tcBorders>
            <w:gridSpan w:val="10"/>
          </w:tcPr>
          <w:p>
            <w:pPr>
              <w:spacing w:after="0" w:line="155" w:lineRule="exact"/>
              <w:rPr>
                <w:rFonts w:ascii="Arial" w:cs="Arial" w:eastAsia="Arial" w:hAnsi="Arial"/>
                <w:sz w:val="16"/>
                <w:szCs w:val="16"/>
                <w:color w:val="0000EE"/>
                <w:w w:val="93"/>
              </w:rPr>
            </w:pPr>
            <w:hyperlink w:anchor="page121">
              <w:r>
                <w:rPr>
                  <w:rFonts w:ascii="Arial" w:cs="Arial" w:eastAsia="Arial" w:hAnsi="Arial"/>
                  <w:sz w:val="16"/>
                  <w:szCs w:val="16"/>
                  <w:color w:val="0000EE"/>
                  <w:w w:val="93"/>
                </w:rPr>
                <w:t>CORPORATE GOVERNANCE</w:t>
              </w:r>
            </w:hyperlink>
          </w:p>
        </w:tc>
        <w:tc>
          <w:tcPr>
            <w:tcW w:w="5900" w:type="dxa"/>
            <w:vAlign w:val="bottom"/>
            <w:gridSpan w:val="16"/>
          </w:tcPr>
          <w:p>
            <w:pPr>
              <w:spacing w:after="0"/>
              <w:rPr>
                <w:sz w:val="14"/>
                <w:szCs w:val="14"/>
                <w:color w:val="auto"/>
              </w:rPr>
            </w:pPr>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109</w:t>
            </w:r>
          </w:p>
        </w:tc>
      </w:tr>
      <w:tr>
        <w:trPr>
          <w:trHeight w:val="179"/>
        </w:trPr>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0000EE"/>
              <w:right w:val="single" w:sz="8" w:color="CCEEFF"/>
            </w:tcBorders>
            <w:gridSpan w:val="3"/>
            <w:shd w:val="clear" w:color="auto" w:fill="CCEEFF"/>
          </w:tcPr>
          <w:p>
            <w:pPr>
              <w:spacing w:after="0" w:line="163" w:lineRule="exact"/>
              <w:rPr>
                <w:rFonts w:ascii="Arial" w:cs="Arial" w:eastAsia="Arial" w:hAnsi="Arial"/>
                <w:sz w:val="16"/>
                <w:szCs w:val="16"/>
                <w:color w:val="0000EE"/>
                <w:w w:val="86"/>
              </w:rPr>
            </w:pPr>
            <w:hyperlink w:anchor="page121">
              <w:r>
                <w:rPr>
                  <w:rFonts w:ascii="Arial" w:cs="Arial" w:eastAsia="Arial" w:hAnsi="Arial"/>
                  <w:sz w:val="16"/>
                  <w:szCs w:val="16"/>
                  <w:color w:val="0000EE"/>
                  <w:w w:val="86"/>
                </w:rPr>
                <w:t>Item 16H.</w:t>
              </w:r>
            </w:hyperlink>
          </w:p>
        </w:tc>
        <w:tc>
          <w:tcPr>
            <w:tcW w:w="400" w:type="dxa"/>
            <w:vAlign w:val="bottom"/>
            <w:tcBorders>
              <w:left w:val="single" w:sz="8" w:color="CCEEFF"/>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0000EE"/>
            </w:tcBorders>
            <w:gridSpan w:val="10"/>
            <w:shd w:val="clear" w:color="auto" w:fill="CCEEFF"/>
          </w:tcPr>
          <w:p>
            <w:pPr>
              <w:spacing w:after="0" w:line="163" w:lineRule="exact"/>
              <w:rPr>
                <w:rFonts w:ascii="Arial" w:cs="Arial" w:eastAsia="Arial" w:hAnsi="Arial"/>
                <w:sz w:val="16"/>
                <w:szCs w:val="16"/>
                <w:color w:val="0000EE"/>
                <w:w w:val="95"/>
              </w:rPr>
            </w:pPr>
            <w:hyperlink w:anchor="page121">
              <w:r>
                <w:rPr>
                  <w:rFonts w:ascii="Arial" w:cs="Arial" w:eastAsia="Arial" w:hAnsi="Arial"/>
                  <w:sz w:val="16"/>
                  <w:szCs w:val="16"/>
                  <w:color w:val="0000EE"/>
                  <w:w w:val="95"/>
                </w:rPr>
                <w:t>MINE SAFETY DISCLOSURE</w:t>
              </w:r>
            </w:hyperlink>
          </w:p>
        </w:tc>
        <w:tc>
          <w:tcPr>
            <w:tcW w:w="5900" w:type="dxa"/>
            <w:vAlign w:val="bottom"/>
            <w:tcBorders>
              <w:bottom w:val="single" w:sz="8" w:color="CCEEFF"/>
            </w:tcBorders>
            <w:gridSpan w:val="16"/>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109</w:t>
            </w:r>
          </w:p>
        </w:tc>
      </w:tr>
      <w:tr>
        <w:trPr>
          <w:trHeight w:val="163"/>
        </w:trPr>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3"/>
          </w:tcPr>
          <w:p>
            <w:pPr>
              <w:spacing w:after="0" w:line="155" w:lineRule="exact"/>
              <w:rPr>
                <w:rFonts w:ascii="Arial" w:cs="Arial" w:eastAsia="Arial" w:hAnsi="Arial"/>
                <w:sz w:val="16"/>
                <w:szCs w:val="16"/>
                <w:color w:val="0000EE"/>
                <w:w w:val="86"/>
              </w:rPr>
            </w:pPr>
            <w:hyperlink w:anchor="page121">
              <w:r>
                <w:rPr>
                  <w:rFonts w:ascii="Arial" w:cs="Arial" w:eastAsia="Arial" w:hAnsi="Arial"/>
                  <w:sz w:val="16"/>
                  <w:szCs w:val="16"/>
                  <w:color w:val="0000EE"/>
                  <w:w w:val="86"/>
                </w:rPr>
                <w:t>ITEM 16I.</w:t>
              </w:r>
            </w:hyperlink>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980" w:type="dxa"/>
            <w:vAlign w:val="bottom"/>
            <w:gridSpan w:val="26"/>
          </w:tcPr>
          <w:p>
            <w:pPr>
              <w:spacing w:after="0" w:line="155" w:lineRule="exact"/>
              <w:rPr>
                <w:rFonts w:ascii="Arial" w:cs="Arial" w:eastAsia="Arial" w:hAnsi="Arial"/>
                <w:sz w:val="16"/>
                <w:szCs w:val="16"/>
                <w:color w:val="0000EE"/>
              </w:rPr>
            </w:pPr>
            <w:hyperlink w:anchor="page121">
              <w:r>
                <w:rPr>
                  <w:rFonts w:ascii="Arial" w:cs="Arial" w:eastAsia="Arial" w:hAnsi="Arial"/>
                  <w:sz w:val="16"/>
                  <w:szCs w:val="16"/>
                  <w:color w:val="0000EE"/>
                </w:rPr>
                <w:t>DISCLOSURE REGARDING FOREIGN JURISDICTIONS THAT PREVENT INSPECTIONS</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109</w:t>
            </w:r>
          </w:p>
        </w:tc>
      </w:tr>
      <w:tr>
        <w:trPr>
          <w:trHeight w:val="163"/>
        </w:trPr>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tcBorders>
              <w:top w:val="single" w:sz="8" w:color="0000EE"/>
            </w:tcBorders>
            <w:gridSpan w:val="2"/>
            <w:shd w:val="clear" w:color="auto" w:fill="CCEEFF"/>
          </w:tcPr>
          <w:p>
            <w:pPr>
              <w:spacing w:after="0" w:line="163" w:lineRule="exact"/>
              <w:rPr>
                <w:rFonts w:ascii="Arial" w:cs="Arial" w:eastAsia="Arial" w:hAnsi="Arial"/>
                <w:sz w:val="16"/>
                <w:szCs w:val="16"/>
                <w:color w:val="0000EE"/>
                <w:w w:val="86"/>
              </w:rPr>
            </w:pPr>
            <w:hyperlink w:anchor="page121">
              <w:r>
                <w:rPr>
                  <w:rFonts w:ascii="Arial" w:cs="Arial" w:eastAsia="Arial" w:hAnsi="Arial"/>
                  <w:sz w:val="16"/>
                  <w:szCs w:val="16"/>
                  <w:color w:val="0000EE"/>
                  <w:w w:val="86"/>
                </w:rPr>
                <w:t>Item 17.</w:t>
              </w:r>
            </w:hyperlink>
          </w:p>
        </w:tc>
        <w:tc>
          <w:tcPr>
            <w:tcW w:w="100" w:type="dxa"/>
            <w:vAlign w:val="bottom"/>
            <w:tcBorders>
              <w:top w:val="single" w:sz="8" w:color="0000EE"/>
              <w:left w:val="single" w:sz="8" w:color="CCEEFF"/>
              <w:right w:val="single" w:sz="8" w:color="CCEEFF"/>
            </w:tcBorders>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160" w:type="dxa"/>
            <w:vAlign w:val="bottom"/>
            <w:tcBorders>
              <w:top w:val="single" w:sz="8" w:color="0000EE"/>
            </w:tcBorders>
            <w:gridSpan w:val="23"/>
            <w:shd w:val="clear" w:color="auto" w:fill="CCEEFF"/>
          </w:tcPr>
          <w:p>
            <w:pPr>
              <w:spacing w:after="0" w:line="163" w:lineRule="exact"/>
              <w:rPr>
                <w:rFonts w:ascii="Arial" w:cs="Arial" w:eastAsia="Arial" w:hAnsi="Arial"/>
                <w:sz w:val="16"/>
                <w:szCs w:val="16"/>
                <w:color w:val="0000EE"/>
              </w:rPr>
            </w:pPr>
            <w:hyperlink w:anchor="page121">
              <w:r>
                <w:rPr>
                  <w:rFonts w:ascii="Arial" w:cs="Arial" w:eastAsia="Arial" w:hAnsi="Arial"/>
                  <w:sz w:val="16"/>
                  <w:szCs w:val="16"/>
                  <w:color w:val="0000EE"/>
                </w:rPr>
                <w:t>FINANCIAL STATEMENTS</w:t>
              </w:r>
            </w:hyperlink>
          </w:p>
        </w:tc>
        <w:tc>
          <w:tcPr>
            <w:tcW w:w="1820" w:type="dxa"/>
            <w:vAlign w:val="bottom"/>
            <w:gridSpan w:val="3"/>
            <w:shd w:val="clear" w:color="auto" w:fill="CCEEFF"/>
          </w:tcPr>
          <w:p>
            <w:pPr>
              <w:spacing w:after="0"/>
              <w:rPr>
                <w:sz w:val="14"/>
                <w:szCs w:val="14"/>
                <w:color w:val="auto"/>
              </w:rPr>
            </w:pPr>
          </w:p>
        </w:tc>
        <w:tc>
          <w:tcPr>
            <w:tcW w:w="1580" w:type="dxa"/>
            <w:vAlign w:val="bottom"/>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109</w:t>
            </w:r>
          </w:p>
        </w:tc>
      </w:tr>
      <w:tr>
        <w:trPr>
          <w:trHeight w:val="36"/>
        </w:trPr>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20" w:type="dxa"/>
            <w:vAlign w:val="bottom"/>
            <w:tcBorders>
              <w:left w:val="single" w:sz="8" w:color="CCEEFF"/>
              <w:right w:val="single" w:sz="8" w:color="CCEEFF"/>
            </w:tcBorders>
            <w:shd w:val="clear" w:color="auto" w:fill="CCEEFF"/>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r>
        <w:trPr>
          <w:trHeight w:val="163"/>
        </w:trPr>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gridSpan w:val="2"/>
          </w:tcPr>
          <w:p>
            <w:pPr>
              <w:spacing w:after="0" w:line="155" w:lineRule="exact"/>
              <w:rPr>
                <w:rFonts w:ascii="Arial" w:cs="Arial" w:eastAsia="Arial" w:hAnsi="Arial"/>
                <w:sz w:val="16"/>
                <w:szCs w:val="16"/>
                <w:color w:val="0000EE"/>
                <w:w w:val="86"/>
              </w:rPr>
            </w:pPr>
            <w:hyperlink w:anchor="page121">
              <w:r>
                <w:rPr>
                  <w:rFonts w:ascii="Arial" w:cs="Arial" w:eastAsia="Arial" w:hAnsi="Arial"/>
                  <w:sz w:val="16"/>
                  <w:szCs w:val="16"/>
                  <w:color w:val="0000EE"/>
                  <w:w w:val="86"/>
                </w:rPr>
                <w:t>Item 18.</w:t>
              </w:r>
            </w:hyperlink>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980" w:type="dxa"/>
            <w:vAlign w:val="bottom"/>
            <w:gridSpan w:val="26"/>
          </w:tcPr>
          <w:p>
            <w:pPr>
              <w:spacing w:after="0" w:line="155" w:lineRule="exact"/>
              <w:rPr>
                <w:rFonts w:ascii="Arial" w:cs="Arial" w:eastAsia="Arial" w:hAnsi="Arial"/>
                <w:sz w:val="16"/>
                <w:szCs w:val="16"/>
                <w:color w:val="0000EE"/>
              </w:rPr>
            </w:pPr>
            <w:hyperlink w:anchor="page121">
              <w:r>
                <w:rPr>
                  <w:rFonts w:ascii="Arial" w:cs="Arial" w:eastAsia="Arial" w:hAnsi="Arial"/>
                  <w:sz w:val="16"/>
                  <w:szCs w:val="16"/>
                  <w:color w:val="0000EE"/>
                </w:rPr>
                <w:t>FINANCIAL STATEMENTS</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109</w:t>
            </w:r>
          </w:p>
        </w:tc>
      </w:tr>
      <w:tr>
        <w:trPr>
          <w:trHeight w:val="179"/>
        </w:trPr>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tcBorders>
              <w:top w:val="single" w:sz="8" w:color="0000EE"/>
            </w:tcBorders>
            <w:gridSpan w:val="2"/>
            <w:shd w:val="clear" w:color="auto" w:fill="CCEEFF"/>
          </w:tcPr>
          <w:p>
            <w:pPr>
              <w:spacing w:after="0" w:line="163" w:lineRule="exact"/>
              <w:rPr>
                <w:rFonts w:ascii="Arial" w:cs="Arial" w:eastAsia="Arial" w:hAnsi="Arial"/>
                <w:sz w:val="16"/>
                <w:szCs w:val="16"/>
                <w:color w:val="0000EE"/>
                <w:w w:val="86"/>
              </w:rPr>
            </w:pPr>
            <w:hyperlink w:anchor="page122">
              <w:r>
                <w:rPr>
                  <w:rFonts w:ascii="Arial" w:cs="Arial" w:eastAsia="Arial" w:hAnsi="Arial"/>
                  <w:sz w:val="16"/>
                  <w:szCs w:val="16"/>
                  <w:color w:val="0000EE"/>
                  <w:w w:val="86"/>
                </w:rPr>
                <w:t>Item 19.</w:t>
              </w:r>
            </w:hyperlink>
          </w:p>
        </w:tc>
        <w:tc>
          <w:tcPr>
            <w:tcW w:w="500" w:type="dxa"/>
            <w:vAlign w:val="bottom"/>
            <w:tcBorders>
              <w:left w:val="single" w:sz="8" w:color="CCEEFF"/>
            </w:tcBorders>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tcBorders>
              <w:top w:val="single" w:sz="8" w:color="0000EE"/>
            </w:tcBorders>
            <w:gridSpan w:val="8"/>
            <w:shd w:val="clear" w:color="auto" w:fill="CCEEFF"/>
          </w:tcPr>
          <w:p>
            <w:pPr>
              <w:spacing w:after="0" w:line="163" w:lineRule="exact"/>
              <w:rPr>
                <w:rFonts w:ascii="Arial" w:cs="Arial" w:eastAsia="Arial" w:hAnsi="Arial"/>
                <w:sz w:val="16"/>
                <w:szCs w:val="16"/>
                <w:color w:val="0000EE"/>
              </w:rPr>
            </w:pPr>
            <w:hyperlink w:anchor="page122">
              <w:r>
                <w:rPr>
                  <w:rFonts w:ascii="Arial" w:cs="Arial" w:eastAsia="Arial" w:hAnsi="Arial"/>
                  <w:sz w:val="16"/>
                  <w:szCs w:val="16"/>
                  <w:color w:val="0000EE"/>
                </w:rPr>
                <w:t>EXHIBITS</w:t>
              </w:r>
            </w:hyperlink>
          </w:p>
        </w:tc>
        <w:tc>
          <w:tcPr>
            <w:tcW w:w="6080" w:type="dxa"/>
            <w:vAlign w:val="bottom"/>
            <w:tcBorders>
              <w:left w:val="single" w:sz="8" w:color="CCEEFF"/>
            </w:tcBorders>
            <w:gridSpan w:val="18"/>
            <w:shd w:val="clear" w:color="auto" w:fill="CCEEFF"/>
          </w:tcPr>
          <w:p>
            <w:pPr>
              <w:spacing w:after="0"/>
              <w:rPr>
                <w:sz w:val="15"/>
                <w:szCs w:val="15"/>
                <w:color w:val="auto"/>
              </w:rPr>
            </w:pPr>
          </w:p>
        </w:tc>
        <w:tc>
          <w:tcPr>
            <w:tcW w:w="1580" w:type="dxa"/>
            <w:vAlign w:val="bottom"/>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110</w:t>
            </w:r>
          </w:p>
        </w:tc>
      </w:tr>
      <w:tr>
        <w:trPr>
          <w:trHeight w:val="191"/>
        </w:trPr>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55"/>
        </w:trPr>
        <w:tc>
          <w:tcPr>
            <w:tcW w:w="1600" w:type="dxa"/>
            <w:vAlign w:val="bottom"/>
            <w:gridSpan w:val="6"/>
            <w:shd w:val="clear" w:color="auto" w:fill="CCEEFF"/>
          </w:tcPr>
          <w:p>
            <w:pPr>
              <w:spacing w:after="0" w:line="155" w:lineRule="exact"/>
              <w:rPr>
                <w:rFonts w:ascii="Arial" w:cs="Arial" w:eastAsia="Arial" w:hAnsi="Arial"/>
                <w:sz w:val="16"/>
                <w:szCs w:val="16"/>
                <w:color w:val="0000EE"/>
              </w:rPr>
            </w:pPr>
            <w:hyperlink w:anchor="page123">
              <w:r>
                <w:rPr>
                  <w:rFonts w:ascii="Arial" w:cs="Arial" w:eastAsia="Arial" w:hAnsi="Arial"/>
                  <w:sz w:val="16"/>
                  <w:szCs w:val="16"/>
                  <w:color w:val="0000EE"/>
                </w:rPr>
                <w:t>SIGNATURES</w:t>
              </w:r>
            </w:hyperlink>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20" w:type="dxa"/>
            <w:vAlign w:val="bottom"/>
            <w:tcBorders>
              <w:left w:val="single" w:sz="8" w:color="CCEEFF"/>
              <w:right w:val="single" w:sz="8" w:color="CCEEFF"/>
            </w:tcBorders>
            <w:shd w:val="clear" w:color="auto" w:fill="CCEEFF"/>
          </w:tcPr>
          <w:p>
            <w:pPr>
              <w:spacing w:after="0"/>
              <w:rPr>
                <w:sz w:val="13"/>
                <w:szCs w:val="13"/>
                <w:color w:val="auto"/>
              </w:rPr>
            </w:pPr>
          </w:p>
        </w:tc>
        <w:tc>
          <w:tcPr>
            <w:tcW w:w="30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ind w:left="600"/>
              <w:spacing w:after="0" w:line="155" w:lineRule="exact"/>
              <w:rPr>
                <w:sz w:val="20"/>
                <w:szCs w:val="20"/>
                <w:color w:val="auto"/>
              </w:rPr>
            </w:pPr>
            <w:r>
              <w:rPr>
                <w:rFonts w:ascii="Arial" w:cs="Arial" w:eastAsia="Arial" w:hAnsi="Arial"/>
                <w:sz w:val="16"/>
                <w:szCs w:val="16"/>
                <w:color w:val="auto"/>
                <w:w w:val="82"/>
              </w:rPr>
              <w:t>111</w:t>
            </w:r>
          </w:p>
        </w:tc>
      </w:tr>
      <w:tr>
        <w:trPr>
          <w:trHeight w:val="36"/>
        </w:trPr>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60" w:type="dxa"/>
            <w:vAlign w:val="bottom"/>
            <w:tcBorders>
              <w:right w:val="single" w:sz="8" w:color="CCEEFF"/>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20" w:type="dxa"/>
            <w:vAlign w:val="bottom"/>
            <w:tcBorders>
              <w:left w:val="single" w:sz="8" w:color="CCEEFF"/>
              <w:right w:val="single" w:sz="8" w:color="CCEEFF"/>
            </w:tcBorders>
            <w:shd w:val="clear" w:color="auto" w:fill="CCEEFF"/>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bl>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983"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FREQUENTLY USED TERMS</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this annual report:</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“1915 Law” means the Luxembourg law of August 10, 1915 on commercial companies, as amended.</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“Adjusted EBITDA” means EBITDA further adjusted to exclude certain isolated costs incurred as a result of the COVID-19 pandemic, certain transaction costs incurred in connection with the Business Combination, certain listing expenses incurred in connection with the Business Combination, certain costs related to business transformation initiatives, certain foreign currency translation adjustments, and certain other finance costs and other nonrecurring, nonoperational or unordinary items as the Company may deem appropriate from time to time.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“Board of Directors” means the board of directors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“Business Combination” means the transactions consummated pursuant to the Business Combination Agreement.</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“Business Combination Agreement” means the Business Combination Agreement, dated as of March 31, 2021, as amended on September 29, 2021, by and among Union, Crynssen, the Company and Merger Sub.</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“Closing” means the consummation of the Business Combination.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“Closing Date” means September 29, 2021.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“Code” means the Internal Revenue Code of 1986, as amended.</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“Company” means Procaps Group, S.A., a public limited liability company (</w:t>
      </w:r>
      <w:r>
        <w:rPr>
          <w:rFonts w:ascii="Arial" w:cs="Arial" w:eastAsia="Arial" w:hAnsi="Arial"/>
          <w:sz w:val="16"/>
          <w:szCs w:val="16"/>
          <w:i w:val="1"/>
          <w:iCs w:val="1"/>
          <w:color w:val="auto"/>
        </w:rPr>
        <w:t>société anonyme</w:t>
      </w:r>
      <w:r>
        <w:rPr>
          <w:rFonts w:ascii="Arial" w:cs="Arial" w:eastAsia="Arial" w:hAnsi="Arial"/>
          <w:sz w:val="16"/>
          <w:szCs w:val="16"/>
          <w:color w:val="auto"/>
        </w:rPr>
        <w:t>) governed by the laws of the Grand Duchy of Luxembourg, having its registered office at 9, rue de Bitbourg, L-1273 Luxembourg, Grand Duchy of Luxembourg, and registered with the Luxembourg Trade and Companies’ Register (</w:t>
      </w:r>
      <w:r>
        <w:rPr>
          <w:rFonts w:ascii="Arial" w:cs="Arial" w:eastAsia="Arial" w:hAnsi="Arial"/>
          <w:sz w:val="16"/>
          <w:szCs w:val="16"/>
          <w:i w:val="1"/>
          <w:iCs w:val="1"/>
          <w:color w:val="auto"/>
        </w:rPr>
        <w:t>Registre de</w:t>
      </w:r>
      <w:r>
        <w:rPr>
          <w:rFonts w:ascii="Arial" w:cs="Arial" w:eastAsia="Arial" w:hAnsi="Arial"/>
          <w:sz w:val="16"/>
          <w:szCs w:val="16"/>
          <w:color w:val="auto"/>
        </w:rPr>
        <w:t xml:space="preserve"> </w:t>
      </w:r>
      <w:r>
        <w:rPr>
          <w:rFonts w:ascii="Arial" w:cs="Arial" w:eastAsia="Arial" w:hAnsi="Arial"/>
          <w:sz w:val="16"/>
          <w:szCs w:val="16"/>
          <w:i w:val="1"/>
          <w:iCs w:val="1"/>
          <w:color w:val="auto"/>
        </w:rPr>
        <w:t>Commerce et des Sociétés, Luxembourg</w:t>
      </w:r>
      <w:r>
        <w:rPr>
          <w:rFonts w:ascii="Arial" w:cs="Arial" w:eastAsia="Arial" w:hAnsi="Arial"/>
          <w:sz w:val="16"/>
          <w:szCs w:val="16"/>
          <w:color w:val="auto"/>
        </w:rPr>
        <w:t>) under number B 253360.</w:t>
      </w:r>
    </w:p>
    <w:p>
      <w:pPr>
        <w:spacing w:after="0" w:line="16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“COVID-19” means the novel coronavirus known as SARS-CoV-2 or COVID-19, and any evolutions, mutations thereof or related or associated epidemics, pandemic or disease outbreaks.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“Crynssen” means Crynssen Pharma Group Limited, a private limited liability company registered and incorporated under the laws of Malta and, particularly, the Companies Act Cap. 386 with company registration number C 59671.</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“Crynssen Ordinary Shares” means ordinary shares of Crynssen, with a nominal value of $1.00 per share.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“Crynssen Shareholders” means the shareholders of Crynssen prior to the consummation of the Business Combination.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“Deseja” means the Deseja Trust, a trust organized under the laws of the State of Delaware and a Crynssen Shareholder.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“EBITDA” means profit (loss) for the year before interest expense, net, income tax expense and depreciation and amortization.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“Exchange Act” means the Securities Exchange Act of 1934, as amended.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“FDA” means the United States Food and Drug Administration.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“GAAP” means with generally accepted accounting principles in the United States of America.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“IASB” means the International Accounting Standards Board.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5" w:name="page6"/>
    <w:bookmarkEnd w:id="5"/>
    <w:p>
      <w:pPr>
        <w:jc w:val="both"/>
        <w:ind w:firstLine="574"/>
        <w:spacing w:after="0" w:line="275" w:lineRule="auto"/>
        <w:rPr>
          <w:sz w:val="20"/>
          <w:szCs w:val="20"/>
          <w:color w:val="auto"/>
        </w:rPr>
      </w:pPr>
      <w:r>
        <w:rPr>
          <w:rFonts w:ascii="Arial" w:cs="Arial" w:eastAsia="Arial" w:hAnsi="Arial"/>
          <w:sz w:val="16"/>
          <w:szCs w:val="16"/>
          <w:color w:val="auto"/>
        </w:rPr>
        <w:t>“IFC” means the International Finance Corporation, an international organization established by Articles of Agreement among its member countries, and a Crynssen Shareholder.</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“IFC Redemption Agreement” means that certain Share Redemption Agreement entered into by and between the Company and IFC on March 31, 2021, and subsequently amended on September 29, 2021, pursuant to which the Company agreed to redeem 4,500,000 Redeemable B Shares from IFC for a total purchase price of $45,000,000 in accordance with the terms thereunder.</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“IFRS” means the International Financial Reporting Standards, as issued by the IASB.</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“IPO” means Union’s initial public offering of units, consummated on October 22, 2019.</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“INVIMA” means the Colombian </w:t>
      </w:r>
      <w:r>
        <w:rPr>
          <w:rFonts w:ascii="Arial" w:cs="Arial" w:eastAsia="Arial" w:hAnsi="Arial"/>
          <w:sz w:val="16"/>
          <w:szCs w:val="16"/>
          <w:i w:val="1"/>
          <w:iCs w:val="1"/>
          <w:color w:val="auto"/>
        </w:rPr>
        <w:t>Instituto Nacional de Vigilancia de Medicamentos y Alimentos</w:t>
      </w:r>
      <w:r>
        <w:rPr>
          <w:rFonts w:ascii="Arial" w:cs="Arial" w:eastAsia="Arial" w:hAnsi="Arial"/>
          <w:sz w:val="16"/>
          <w:szCs w:val="16"/>
          <w:color w:val="auto"/>
        </w:rPr>
        <w:t xml:space="preserve"> (National Food and Drug Surveillance Institute).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“JOBS Act” means the U.S. Jumpstart Our Business Startups Act of 2012, as amended.</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“Merger” means the merging of Merger Sub with and into Union pursuant to the laws of the Cayman Islands, with Union surviving the Merger as a wholly owned subsidiary of the Company.</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“Merger Effective Time” means the time at which the merger certificate was filed on September 29, 2021.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“Merger Sub” means OZLEM Limited, an exempted company incorporated under the laws of the Cayman Islands with registration number 373625.</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“Nasdaq” means The Nasdaq Stock Market LLC.</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“Nomination Agreement” means that certain nomination agreement by and among the Company, certain Crynssen Shareholders and the Sponsors dated September 29,</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2021.</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“Ordinary Shares” means the ordinary shares of the Company, nominal value $0.01 per share.</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“PIPE” means the private placement pursuant to which the PIPE Investors purchased 10,000,000 SPAC Ordinary Shares, for a purchase price of $10.00 per share, which were converted into Ordinary Shares in connection with the Closing.</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“PIPE Investors” means persons that entered into Subscription Agreements to purchase for cash SPAC Ordinary Shares which became Ordinary Shares in connection with the consummation of the Business Combination on the Closing Date.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“Redeemable A Shares” means the redeemable A shares of the Company, nominal value $0.01 per share.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“Redeemable B Shares” means the redeemable B shares of the Company, nominal value $0.01 per share.</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“Registration Rights and Lock-Up Agreement” means that certain registration rights and lock-up agreement entered into on September 29, 2021 by and among the Company, the Sponsors, certain other shareholders of Union and the Crynssen Shareholders.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 means the U.S. Securities and Exchange Commission.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ind w:left="560"/>
        <w:spacing w:after="0"/>
        <w:rPr>
          <w:sz w:val="20"/>
          <w:szCs w:val="20"/>
          <w:color w:val="auto"/>
        </w:rPr>
      </w:pPr>
      <w:r>
        <w:rPr>
          <w:rFonts w:ascii="Arial" w:cs="Arial" w:eastAsia="Arial" w:hAnsi="Arial"/>
          <w:sz w:val="16"/>
          <w:szCs w:val="16"/>
          <w:color w:val="auto"/>
        </w:rPr>
        <w:t>“Securities Act” means the Securities Act of 1933, as amended.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“Simphony” means the Simphony Trust, a trust organized under the laws of the State of Delaware and a Crynssen Shareholder.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“Sognatore” means the Sognatore Trust, a trust organized under the laws of New Zealand and a Crynssen Shareholder.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“SPAC” or “Union” means Union Acquisition Corp. II, a Cayman Islands exempted company limited by shares with registration number 345887.</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“SPAC Ordinary Shares” means the ordinary shares of Union, par value $0.0001 per share.</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“SPAC Warrants” means warrants to purchase SPAC Ordinary Shares as contemplated under the Warrant Agreement, with each warrant exercisable for the number of SPAC Ordinary Shares stated in the applicable SPAC Warrant at an exercise price per SPAC Ordinary Share of $11.50.</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“Sponsors” means Union Group International Holdings Limited and Union Acquisition Associates II, LLC.</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“Subscription Agreements” means the subscription agreements entered into by Union and a number of qualified institutional buyers and institutional and individual accredited investors, in connection with the execution of the Business Combination Agreement, pursuant to which such investors agreed to purchase, and Union agreed to sell to such investors, an aggregate of 10,000,000 SPAC Ordinary Shares for a purchase price of $10.00 per share and an aggregate purchase price of $100,000,000, which SPAC Ordinary Shares were automatically exchanged with the Company for Ordinary Shares at the Closing.</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“Transaction Support Agreement” means the Transaction Support Agreement, dated as of March 31, 2021, by and among Union, Crynssen, the Company, certain Crynssen Shareholders, the Sponsors, certain other shareholders of Union prior to the Closing of the Business Combination and certain officers and directors of Union, as amended, modified or supplemented from time to time.</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“Warrant Amendment” means that certain Assignment, Assumption and Amendment Agreement entered into on September 29, 2021 by the Company, Union and Continental Stock Transfer &amp; Trust Company as warrant agent.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“Warrant Agreement” means the warrant agreement, dated October 17, 2019, by and between Union and Continental Stock Transfer &amp; Trust Company, as warrant agent, governing Union’s warrants.</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“Warrants” mean the former warrants of Union converted at the Merger Effective Time into a right to acquire one Ordinary Share on substantially the same terms as were in effect immediately prior to the Merger Effective Time under the terms of the Warrant Agreement, which was assigned to and assumed by the Company pursuant to the Warrant Amendment.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CAUTIONARY STATEMENT WITH RESPECT TO FORWARD-LOOKING STATEMENTS</w:t>
      </w:r>
    </w:p>
    <w:p>
      <w:pPr>
        <w:spacing w:after="0" w:line="20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This annual report contains forward-looking statements about our expectations, beliefs and intentions regarding, among other things, our products and services, development efforts, business, financial condition, results of operations, strategies, plans and prospects. Forward-looking statements can be identified by the use of forward-looking words such as “believe,” “expect,” “intend,” “plan,” “may,” “should,” “could,” “might,” “seek,” “target,” “will,” “project,” “forecast,” “continue” or “anticipate” or their negatives or variations of these words or other comparable words or by the fact that these statements do not relate strictly to historical matters.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but not limited to, the factors listed below:</w:t>
      </w:r>
    </w:p>
    <w:p>
      <w:pPr>
        <w:spacing w:after="0" w:line="157" w:lineRule="exact"/>
        <w:rPr>
          <w:sz w:val="20"/>
          <w:szCs w:val="20"/>
          <w:color w:val="auto"/>
        </w:rPr>
      </w:pPr>
    </w:p>
    <w:p>
      <w:pPr>
        <w:ind w:left="1000" w:hanging="431"/>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financial performance of Procaps following the Business Combination;</w:t>
      </w:r>
    </w:p>
    <w:p>
      <w:pPr>
        <w:spacing w:after="0" w:line="198" w:lineRule="exact"/>
        <w:rPr>
          <w:rFonts w:ascii="Arial" w:cs="Arial" w:eastAsia="Arial" w:hAnsi="Arial"/>
          <w:sz w:val="16"/>
          <w:szCs w:val="16"/>
          <w:color w:val="auto"/>
        </w:rPr>
      </w:pPr>
    </w:p>
    <w:p>
      <w:pPr>
        <w:ind w:left="1000" w:hanging="431"/>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to our strategy, future operations, financial position, estimated revenues and losses, projected costs, prospects and plans;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launch new products and services;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and efficiently integrate future acquisitions or execute on dispositions;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availability of raw materials used in our products and our ability to source such raw materials, or find adequate substitutes, in a cost-effective manner;</w:t>
      </w:r>
    </w:p>
    <w:p>
      <w:pPr>
        <w:spacing w:after="0" w:line="209" w:lineRule="exact"/>
        <w:rPr>
          <w:rFonts w:ascii="Arial" w:cs="Arial" w:eastAsia="Arial" w:hAnsi="Arial"/>
          <w:sz w:val="15"/>
          <w:szCs w:val="15"/>
          <w:color w:val="auto"/>
        </w:rPr>
      </w:pPr>
    </w:p>
    <w:p>
      <w:pPr>
        <w:ind w:left="860" w:hanging="291"/>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product development timeline and estimated research and development (“R&amp;D”) costs;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developments and projections relating to our competitors and industry;</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ability to obtain and maintain intellectual property protection and not infringe on the rights of others;</w:t>
      </w:r>
    </w:p>
    <w:p>
      <w:pPr>
        <w:spacing w:after="0" w:line="198" w:lineRule="exact"/>
        <w:rPr>
          <w:rFonts w:ascii="Arial" w:cs="Arial" w:eastAsia="Arial" w:hAnsi="Arial"/>
          <w:sz w:val="16"/>
          <w:szCs w:val="16"/>
          <w:color w:val="auto"/>
        </w:rPr>
      </w:pPr>
    </w:p>
    <w:p>
      <w:pPr>
        <w:ind w:left="1000" w:hanging="431"/>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COVID-19 pandemic on our business;</w:t>
      </w:r>
    </w:p>
    <w:p>
      <w:pPr>
        <w:spacing w:after="0" w:line="198" w:lineRule="exact"/>
        <w:rPr>
          <w:rFonts w:ascii="Arial" w:cs="Arial" w:eastAsia="Arial" w:hAnsi="Arial"/>
          <w:sz w:val="16"/>
          <w:szCs w:val="16"/>
          <w:color w:val="auto"/>
        </w:rPr>
      </w:pPr>
    </w:p>
    <w:p>
      <w:pPr>
        <w:ind w:left="1000" w:hanging="431"/>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applicable laws or regulations; and</w:t>
      </w:r>
    </w:p>
    <w:p>
      <w:pPr>
        <w:spacing w:after="0" w:line="198" w:lineRule="exact"/>
        <w:rPr>
          <w:rFonts w:ascii="Arial" w:cs="Arial" w:eastAsia="Arial" w:hAnsi="Arial"/>
          <w:sz w:val="16"/>
          <w:szCs w:val="16"/>
          <w:color w:val="auto"/>
        </w:rPr>
      </w:pPr>
    </w:p>
    <w:p>
      <w:pPr>
        <w:ind w:left="1000" w:hanging="431"/>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outcome of any known and unknown litigation and regulatory proceedings.</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believe these forward-looking statements are reasonable; however, these statements speak only as of the date of this annual report and are subject to known and unknown risks, uncertainties and other factors that may cause our or our industry’s actual results, levels of activity, performance or achievements to be materially different from those anticipated by the forward-looking statements. We discuss these risks in this annual report in greater detail under the heading “Risk Factors.” Given these uncertainties, you should not rely upon forward-looking statements as predictions of future events.</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Unless required by law, we undertake no obligation to update or revise any forward-looking statement, whether as a result of new information, future events or developments or otherwise.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152" w:lineRule="exact"/>
        <w:rPr>
          <w:sz w:val="20"/>
          <w:szCs w:val="20"/>
          <w:color w:val="auto"/>
        </w:rPr>
      </w:pPr>
    </w:p>
    <w:p>
      <w:pPr>
        <w:ind w:left="860" w:right="20" w:hanging="291"/>
        <w:spacing w:after="0" w:line="275"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recognize the anticipated benefits of the Business Combination, which may be affected by, among other things, competition and our ability to grow and manage growth profitably following the Business Combination;</w:t>
      </w:r>
    </w:p>
    <w:p>
      <w:pPr>
        <w:spacing w:after="0" w:line="151" w:lineRule="exact"/>
        <w:rPr>
          <w:rFonts w:ascii="Arial" w:cs="Arial" w:eastAsia="Arial" w:hAnsi="Arial"/>
          <w:sz w:val="16"/>
          <w:szCs w:val="16"/>
          <w:color w:val="auto"/>
        </w:rPr>
      </w:pPr>
    </w:p>
    <w:p>
      <w:pPr>
        <w:ind w:left="860" w:hanging="291"/>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applicable laws or regulations;</w:t>
      </w:r>
    </w:p>
    <w:p>
      <w:pPr>
        <w:spacing w:after="0" w:line="198"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identified material weaknesses in our internal control over financial reporting which, if not corrected, could adversely affect the reliability of our financial reporting;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8" w:name="page9"/>
    <w:bookmarkEnd w:id="8"/>
    <w:p>
      <w:pPr>
        <w:ind w:left="291" w:hanging="291"/>
        <w:spacing w:after="0"/>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effects of the COVID-19 pandemic on our business;</w:t>
      </w:r>
    </w:p>
    <w:p>
      <w:pPr>
        <w:spacing w:after="0" w:line="198" w:lineRule="exact"/>
        <w:rPr>
          <w:rFonts w:ascii="Arial" w:cs="Arial" w:eastAsia="Arial" w:hAnsi="Arial"/>
          <w:sz w:val="16"/>
          <w:szCs w:val="16"/>
          <w:color w:val="auto"/>
        </w:rPr>
      </w:pPr>
    </w:p>
    <w:p>
      <w:pPr>
        <w:ind w:left="291" w:hanging="291"/>
        <w:spacing w:after="0" w:line="275" w:lineRule="auto"/>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ability to implement business plans, forecasts, and other expectations after the completion of any future acquisition, and identify and realize additional opportunities;</w:t>
      </w:r>
    </w:p>
    <w:p>
      <w:pPr>
        <w:spacing w:after="0" w:line="151" w:lineRule="exact"/>
        <w:rPr>
          <w:rFonts w:ascii="Arial" w:cs="Arial" w:eastAsia="Arial" w:hAnsi="Arial"/>
          <w:sz w:val="16"/>
          <w:szCs w:val="16"/>
          <w:color w:val="auto"/>
        </w:rPr>
      </w:pPr>
    </w:p>
    <w:p>
      <w:pPr>
        <w:ind w:left="291" w:hanging="291"/>
        <w:spacing w:after="0"/>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of failure or delay in the development of new pharmaceutical products and the costs involved;</w:t>
      </w:r>
    </w:p>
    <w:p>
      <w:pPr>
        <w:spacing w:after="0" w:line="198" w:lineRule="exact"/>
        <w:rPr>
          <w:rFonts w:ascii="Arial" w:cs="Arial" w:eastAsia="Arial" w:hAnsi="Arial"/>
          <w:sz w:val="16"/>
          <w:szCs w:val="16"/>
          <w:color w:val="auto"/>
        </w:rPr>
      </w:pPr>
    </w:p>
    <w:p>
      <w:pPr>
        <w:ind w:left="291" w:hanging="291"/>
        <w:spacing w:after="0" w:line="275" w:lineRule="auto"/>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that delays in regulatory reviews and approvals of new products could delay our ability to market such products, and that post-approval requirements, including additional clinical trials, could result in increased costs;</w:t>
      </w:r>
    </w:p>
    <w:p>
      <w:pPr>
        <w:spacing w:after="0" w:line="151" w:lineRule="exact"/>
        <w:rPr>
          <w:rFonts w:ascii="Arial" w:cs="Arial" w:eastAsia="Arial" w:hAnsi="Arial"/>
          <w:sz w:val="16"/>
          <w:szCs w:val="16"/>
          <w:color w:val="auto"/>
        </w:rPr>
      </w:pPr>
    </w:p>
    <w:p>
      <w:pPr>
        <w:ind w:left="291" w:hanging="291"/>
        <w:spacing w:after="0"/>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associated with the markets and countries in which we operate, including, Colombia, El Salvador and Brazil;</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identify and materialize acquisition opportunities;</w:t>
      </w:r>
    </w:p>
    <w:p>
      <w:pPr>
        <w:spacing w:after="0" w:line="198" w:lineRule="exact"/>
        <w:rPr>
          <w:rFonts w:ascii="Arial" w:cs="Arial" w:eastAsia="Arial" w:hAnsi="Arial"/>
          <w:sz w:val="16"/>
          <w:szCs w:val="16"/>
          <w:color w:val="auto"/>
        </w:rPr>
      </w:pPr>
    </w:p>
    <w:p>
      <w:pPr>
        <w:ind w:left="291" w:hanging="291"/>
        <w:spacing w:after="0" w:line="275" w:lineRule="auto"/>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associated with fluctuations in the costs, availability, and suitability of the components of the products we manufacture, including active pharmaceutical ingredients, excipients, purchased components, and raw materials;</w:t>
      </w:r>
    </w:p>
    <w:p>
      <w:pPr>
        <w:spacing w:after="0" w:line="151" w:lineRule="exact"/>
        <w:rPr>
          <w:rFonts w:ascii="Arial" w:cs="Arial" w:eastAsia="Arial" w:hAnsi="Arial"/>
          <w:sz w:val="16"/>
          <w:szCs w:val="16"/>
          <w:color w:val="auto"/>
        </w:rPr>
      </w:pPr>
    </w:p>
    <w:p>
      <w:pPr>
        <w:ind w:left="291" w:hanging="291"/>
        <w:spacing w:after="0" w:line="275" w:lineRule="auto"/>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failure to comply with existing or future regulatory requirements, standards and ethical expectations, including environmental, tax, labor, anticorruption, health and safety regulations;</w:t>
      </w:r>
    </w:p>
    <w:p>
      <w:pPr>
        <w:spacing w:after="0" w:line="151" w:lineRule="exact"/>
        <w:rPr>
          <w:rFonts w:ascii="Arial" w:cs="Arial" w:eastAsia="Arial" w:hAnsi="Arial"/>
          <w:sz w:val="16"/>
          <w:szCs w:val="16"/>
          <w:color w:val="auto"/>
        </w:rPr>
      </w:pPr>
    </w:p>
    <w:p>
      <w:pPr>
        <w:ind w:left="291" w:hanging="291"/>
        <w:spacing w:after="0"/>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associated with global supply chain crisis could interfere with the operations of certain of our direct or indirect suppliers;</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adequately enhance our products and services or introduce new technology;</w:t>
      </w:r>
    </w:p>
    <w:p>
      <w:pPr>
        <w:spacing w:after="0" w:line="198" w:lineRule="exact"/>
        <w:rPr>
          <w:rFonts w:ascii="Arial" w:cs="Arial" w:eastAsia="Arial" w:hAnsi="Arial"/>
          <w:sz w:val="16"/>
          <w:szCs w:val="16"/>
          <w:color w:val="auto"/>
        </w:rPr>
      </w:pPr>
    </w:p>
    <w:p>
      <w:pPr>
        <w:ind w:left="291" w:hanging="291"/>
        <w:spacing w:after="0" w:line="275" w:lineRule="auto"/>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associated with the restatement of our financial statements for prior periods which may affect investor confidence, the price of our securities, our ability to raise capital in the future, our results of operations and financial condition, and which may result in stockholder litigation;</w:t>
      </w:r>
    </w:p>
    <w:p>
      <w:pPr>
        <w:spacing w:after="0" w:line="151" w:lineRule="exact"/>
        <w:rPr>
          <w:rFonts w:ascii="Arial" w:cs="Arial" w:eastAsia="Arial" w:hAnsi="Arial"/>
          <w:sz w:val="16"/>
          <w:szCs w:val="16"/>
          <w:color w:val="auto"/>
        </w:rPr>
      </w:pPr>
    </w:p>
    <w:p>
      <w:pPr>
        <w:ind w:left="291" w:hanging="291"/>
        <w:spacing w:after="0" w:line="275" w:lineRule="auto"/>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of a change in demand for our products and services, consumer preferences and the possibility of rapid technological change in the highly competitive industry in which we operate;</w:t>
      </w:r>
    </w:p>
    <w:p>
      <w:pPr>
        <w:spacing w:after="0" w:line="151" w:lineRule="exact"/>
        <w:rPr>
          <w:rFonts w:ascii="Arial" w:cs="Arial" w:eastAsia="Arial" w:hAnsi="Arial"/>
          <w:sz w:val="16"/>
          <w:szCs w:val="16"/>
          <w:color w:val="auto"/>
        </w:rPr>
      </w:pPr>
    </w:p>
    <w:p>
      <w:pPr>
        <w:ind w:left="291" w:hanging="291"/>
        <w:spacing w:after="0"/>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associated with the loss of, or failure to attract and retain, our key employees and specialized sales representatives;</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that changes to price control regulations could negatively affect our margins and its ability to pass on cost increases to our customers;</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dependency of our integral contract development and manufacturing organization services on customer’s research and success of their products;</w:t>
      </w:r>
    </w:p>
    <w:p>
      <w:pPr>
        <w:spacing w:after="0" w:line="209" w:lineRule="exact"/>
        <w:rPr>
          <w:rFonts w:ascii="Arial" w:cs="Arial" w:eastAsia="Arial" w:hAnsi="Arial"/>
          <w:sz w:val="15"/>
          <w:szCs w:val="15"/>
          <w:color w:val="auto"/>
        </w:rPr>
      </w:pPr>
    </w:p>
    <w:p>
      <w:pPr>
        <w:ind w:left="291" w:hanging="291"/>
        <w:spacing w:after="0"/>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risks associated with the effect of our products on our customers and potential exposure to product and other liability risks;</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of disruption at any of our manufacturing facilities or disruption of the relationship with our key customers;</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risks associated with exchange rate volatility of the currencies in which we do business;</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of any breach, disruption or misuse of our, or our external business partners’, information systems or cyber security efforts;</w:t>
      </w:r>
    </w:p>
    <w:p>
      <w:pPr>
        <w:spacing w:after="0" w:line="198" w:lineRule="exact"/>
        <w:rPr>
          <w:rFonts w:ascii="Arial" w:cs="Arial" w:eastAsia="Arial" w:hAnsi="Arial"/>
          <w:sz w:val="16"/>
          <w:szCs w:val="16"/>
          <w:color w:val="auto"/>
        </w:rPr>
      </w:pPr>
    </w:p>
    <w:p>
      <w:pPr>
        <w:ind w:left="291" w:hanging="291"/>
        <w:spacing w:after="0" w:line="275" w:lineRule="auto"/>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of changes in market access or healthcare reimbursement for, or public sentiment towards our, or our customers’, products, or other changes in applicable policies regarding the healthcare industry;</w:t>
      </w:r>
    </w:p>
    <w:p>
      <w:pPr>
        <w:spacing w:after="0" w:line="151" w:lineRule="exact"/>
        <w:rPr>
          <w:rFonts w:ascii="Arial" w:cs="Arial" w:eastAsia="Arial" w:hAnsi="Arial"/>
          <w:sz w:val="16"/>
          <w:szCs w:val="16"/>
          <w:color w:val="auto"/>
        </w:rPr>
      </w:pPr>
    </w:p>
    <w:p>
      <w:pPr>
        <w:ind w:left="291" w:hanging="291"/>
        <w:spacing w:after="0" w:line="275" w:lineRule="auto"/>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that we or our customers are unable to secure or protect our respective intellectual property or that we or our customers may infringe on the intellectual property rights of others;</w:t>
      </w:r>
    </w:p>
    <w:p>
      <w:pPr>
        <w:spacing w:after="0" w:line="151" w:lineRule="exact"/>
        <w:rPr>
          <w:rFonts w:ascii="Arial" w:cs="Arial" w:eastAsia="Arial" w:hAnsi="Arial"/>
          <w:sz w:val="16"/>
          <w:szCs w:val="16"/>
          <w:color w:val="auto"/>
        </w:rPr>
      </w:pPr>
    </w:p>
    <w:p>
      <w:pPr>
        <w:ind w:left="291" w:hanging="291"/>
        <w:spacing w:after="0"/>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loss of customers’ confidence in the integrity of pharmaceutical products due to illegal trade;</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possibility that we may be adversely affected by other economic, business, and/or competitive factors; and</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risks and uncertainties described in this annual report, including those under the heading “Risk Factors.”</w:t>
      </w:r>
    </w:p>
    <w:p>
      <w:pPr>
        <w:spacing w:after="0" w:line="390" w:lineRule="exact"/>
        <w:rPr>
          <w:sz w:val="20"/>
          <w:szCs w:val="20"/>
          <w:color w:val="auto"/>
        </w:rPr>
      </w:pPr>
    </w:p>
    <w:p>
      <w:pPr>
        <w:ind w:left="4991"/>
        <w:spacing w:after="0"/>
        <w:rPr>
          <w:sz w:val="20"/>
          <w:szCs w:val="20"/>
          <w:color w:val="auto"/>
        </w:rPr>
      </w:pP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71"/>
          </w:cols>
          <w:pgMar w:left="889" w:top="79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CERTAIN CONVENTIONS</w:t>
      </w:r>
    </w:p>
    <w:p>
      <w:pPr>
        <w:spacing w:after="0" w:line="20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The Company was incorporated under the laws of the Grand Duchy of Luxembourg on March 29, 2021. The Company owns no material assets other than its direct ownership of the issued share capital in Crynssen, a private limited liability company registered and incorporated under the laws of Malta. Except where the context otherwise requires or where otherwise indicated, all references to “Procaps,” “we,” “us” and “our” refer to Crynssen and its consolidated subsidiaries, including Crynssen, with respect to periods prior to the Closing and to the Company and its consolidated subsidiaries with respect to periods following the Closing, as well as those businesses we account for using the equity method.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Restatement of Previously Issued Financial Statements</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During the preparation of this annual report and our Annual Audited Consolidated Financial Statements (as defined below), we revisited the classification of our factoring and reverse factoring arrangements between </w:t>
      </w:r>
      <w:r>
        <w:rPr>
          <w:rFonts w:ascii="Arial" w:cs="Arial" w:eastAsia="Arial" w:hAnsi="Arial"/>
          <w:sz w:val="16"/>
          <w:szCs w:val="16"/>
          <w:i w:val="1"/>
          <w:iCs w:val="1"/>
          <w:color w:val="auto"/>
        </w:rPr>
        <w:t>Trade and other payables (current)</w:t>
      </w:r>
      <w:r>
        <w:rPr>
          <w:rFonts w:ascii="Arial" w:cs="Arial" w:eastAsia="Arial" w:hAnsi="Arial"/>
          <w:sz w:val="16"/>
          <w:szCs w:val="16"/>
          <w:color w:val="auto"/>
        </w:rPr>
        <w:t xml:space="preserve"> and </w:t>
      </w:r>
      <w:r>
        <w:rPr>
          <w:rFonts w:ascii="Arial" w:cs="Arial" w:eastAsia="Arial" w:hAnsi="Arial"/>
          <w:sz w:val="16"/>
          <w:szCs w:val="16"/>
          <w:i w:val="1"/>
          <w:iCs w:val="1"/>
          <w:color w:val="auto"/>
        </w:rPr>
        <w:t>Borrowings (current)</w:t>
      </w:r>
      <w:r>
        <w:rPr>
          <w:rFonts w:ascii="Arial" w:cs="Arial" w:eastAsia="Arial" w:hAnsi="Arial"/>
          <w:sz w:val="16"/>
          <w:szCs w:val="16"/>
          <w:color w:val="auto"/>
        </w:rPr>
        <w:t>.</w:t>
      </w:r>
    </w:p>
    <w:p>
      <w:pPr>
        <w:spacing w:after="0" w:line="15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We enter into reverse factoring arrangements with several factors. Under these arrangements, certain suppliers sell their receivables in Procaps to a factor. When a supplier sells an invoice to a factor, the factor will advance the payment with a discount to the supplier. While we do not have a contractual obligation to reimburse the supplier for the discount (i.e., interest), in practice, and in order to maintain a good business relationship with suppliers and in exchange for longer payment terms, we may agree to reimburse the discount to the supplier, hence assuming the discount as a result of extending the payment terms. Inversely, we also enter into factoring arrangements where we sell or assign trade receivables to factors at a discount. These arrangements can be structured with or without recourse. In some instances, we may have both factoring and reverse factoring arrangements in place with the same factor.</w:t>
      </w:r>
    </w:p>
    <w:p>
      <w:pPr>
        <w:spacing w:after="0" w:line="170"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Our reverse factoring arrangements have characteristics of both operating and financing debt. Under IFRS 9 there is no explicit guidance as to when to classify a reverse factoring arrangement as operating or financing debt. The assessment of such classification involves judgment and careful consideration of all relevant facts and circumstances of each arrangements. Previously, we classified all reverse factoring arrangements as </w:t>
      </w:r>
      <w:r>
        <w:rPr>
          <w:rFonts w:ascii="Arial" w:cs="Arial" w:eastAsia="Arial" w:hAnsi="Arial"/>
          <w:sz w:val="16"/>
          <w:szCs w:val="16"/>
          <w:i w:val="1"/>
          <w:iCs w:val="1"/>
          <w:color w:val="auto"/>
        </w:rPr>
        <w:t>Trade and other payables (current).</w:t>
      </w:r>
      <w:r>
        <w:rPr>
          <w:rFonts w:ascii="Arial" w:cs="Arial" w:eastAsia="Arial" w:hAnsi="Arial"/>
          <w:sz w:val="16"/>
          <w:szCs w:val="16"/>
          <w:color w:val="auto"/>
        </w:rPr>
        <w:t xml:space="preserve"> Upon reassessing the facts and circumstances of each reverse factoring arrangement, we determined that certain reverse factoring arrangements have the characteristics of a financing arrangement due to Procaps reimbursing certain suppliers for the discount charged by the factor to the supplier, which consists of interest, late and/or other charges that are being invoiced to Procaps by the supplier. As a result of our re-assessment, we have reclassified such reverse factoring arrangements from </w:t>
      </w:r>
      <w:r>
        <w:rPr>
          <w:rFonts w:ascii="Arial" w:cs="Arial" w:eastAsia="Arial" w:hAnsi="Arial"/>
          <w:sz w:val="16"/>
          <w:szCs w:val="16"/>
          <w:i w:val="1"/>
          <w:iCs w:val="1"/>
          <w:color w:val="auto"/>
        </w:rPr>
        <w:t>Trade and other payables (current)</w:t>
      </w:r>
      <w:r>
        <w:rPr>
          <w:rFonts w:ascii="Arial" w:cs="Arial" w:eastAsia="Arial" w:hAnsi="Arial"/>
          <w:sz w:val="16"/>
          <w:szCs w:val="16"/>
          <w:color w:val="auto"/>
        </w:rPr>
        <w:t xml:space="preserve"> to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w:t>
      </w:r>
      <w:r>
        <w:rPr>
          <w:rFonts w:ascii="Arial" w:cs="Arial" w:eastAsia="Arial" w:hAnsi="Arial"/>
          <w:sz w:val="16"/>
          <w:szCs w:val="16"/>
          <w:i w:val="1"/>
          <w:iCs w:val="1"/>
          <w:color w:val="auto"/>
        </w:rPr>
        <w:t>(current)</w:t>
      </w:r>
      <w:r>
        <w:rPr>
          <w:rFonts w:ascii="Arial" w:cs="Arial" w:eastAsia="Arial" w:hAnsi="Arial"/>
          <w:sz w:val="16"/>
          <w:szCs w:val="16"/>
          <w:color w:val="auto"/>
        </w:rPr>
        <w:t>.</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Additionally, we had sold trade receivables to certain factors with recourse, thereby not transferring substantially all risks associated with such factoring arrangements.</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As a result, such factoring arrangements should have been classified as ‘secured borrowings’ within </w:t>
      </w:r>
      <w:r>
        <w:rPr>
          <w:rFonts w:ascii="Arial" w:cs="Arial" w:eastAsia="Arial" w:hAnsi="Arial"/>
          <w:sz w:val="15"/>
          <w:szCs w:val="15"/>
          <w:i w:val="1"/>
          <w:iCs w:val="1"/>
          <w:color w:val="auto"/>
        </w:rPr>
        <w:t>Borrowings (current)</w:t>
      </w:r>
      <w:r>
        <w:rPr>
          <w:rFonts w:ascii="Arial" w:cs="Arial" w:eastAsia="Arial" w:hAnsi="Arial"/>
          <w:sz w:val="15"/>
          <w:szCs w:val="15"/>
          <w:color w:val="auto"/>
        </w:rPr>
        <w:t xml:space="preserve"> instead of </w:t>
      </w:r>
      <w:r>
        <w:rPr>
          <w:rFonts w:ascii="Arial" w:cs="Arial" w:eastAsia="Arial" w:hAnsi="Arial"/>
          <w:sz w:val="15"/>
          <w:szCs w:val="15"/>
          <w:i w:val="1"/>
          <w:iCs w:val="1"/>
          <w:color w:val="auto"/>
        </w:rPr>
        <w:t>Trade and other payables (current)</w:t>
      </w:r>
      <w:r>
        <w:rPr>
          <w:rFonts w:ascii="Arial" w:cs="Arial" w:eastAsia="Arial" w:hAnsi="Arial"/>
          <w:sz w:val="15"/>
          <w:szCs w:val="15"/>
          <w:color w:val="auto"/>
        </w:rPr>
        <w:t>.</w:t>
      </w:r>
    </w:p>
    <w:p>
      <w:pPr>
        <w:spacing w:after="0" w:line="19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Furthermore, the reclassification of such factoring and reverse factoring arrangements from </w:t>
      </w:r>
      <w:r>
        <w:rPr>
          <w:rFonts w:ascii="Arial" w:cs="Arial" w:eastAsia="Arial" w:hAnsi="Arial"/>
          <w:sz w:val="16"/>
          <w:szCs w:val="16"/>
          <w:i w:val="1"/>
          <w:iCs w:val="1"/>
          <w:color w:val="auto"/>
        </w:rPr>
        <w:t>Trade and other payables (current)</w:t>
      </w:r>
      <w:r>
        <w:rPr>
          <w:rFonts w:ascii="Arial" w:cs="Arial" w:eastAsia="Arial" w:hAnsi="Arial"/>
          <w:sz w:val="16"/>
          <w:szCs w:val="16"/>
          <w:color w:val="auto"/>
        </w:rPr>
        <w:t xml:space="preserve"> to </w:t>
      </w:r>
      <w:r>
        <w:rPr>
          <w:rFonts w:ascii="Arial" w:cs="Arial" w:eastAsia="Arial" w:hAnsi="Arial"/>
          <w:sz w:val="16"/>
          <w:szCs w:val="16"/>
          <w:i w:val="1"/>
          <w:iCs w:val="1"/>
          <w:color w:val="auto"/>
        </w:rPr>
        <w:t>Borrowings (current)</w:t>
      </w:r>
      <w:r>
        <w:rPr>
          <w:rFonts w:ascii="Arial" w:cs="Arial" w:eastAsia="Arial" w:hAnsi="Arial"/>
          <w:sz w:val="16"/>
          <w:szCs w:val="16"/>
          <w:color w:val="auto"/>
        </w:rPr>
        <w:t xml:space="preserve"> has impacted “trade and other payables” and “payments on borrowings” in our statement of cash flows for the years ended December 31, 2020 and 2019, thereby reducing cash from operating activities and increasing cash from financing activities.</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Our management has concluded that in light of the error described above, a material weakness exists in our internal control over financial reporting and that our disclosure controls and procedures were not effective. For a discussion on remediation plan with respect to such material weakness, see Item 15.B under the heading “Management’s Annual Assessment of Internal Control Over Financial Reporting –– Remediation Efforts” in this annual report.</w:t>
      </w:r>
    </w:p>
    <w:p>
      <w:pPr>
        <w:spacing w:after="0" w:line="16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The Company and its Audit Committee, after discussion with its independent registered public accounting firm and legal advisors, determined that we will be required to restate our previously issued unaudited consolidated interim financial statements as of and for the six months ended June 30, 2021 and 2020, and its consolidated financial statements as of and for the years ended December 31, 2020 and 2019, included in its Registration Statement on Form F-1 (Registration No. 333-261366).</w:t>
      </w:r>
    </w:p>
    <w:p>
      <w:pPr>
        <w:spacing w:after="0" w:line="127"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more information, see Note 2.4 “Restatement of Previously Issued Financial Statements” to the Annual Audited Consolidated Financial Statements included elsewhere in this annual report.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Trademarks and Trade Names</w:t>
      </w:r>
    </w:p>
    <w:p>
      <w:pPr>
        <w:spacing w:after="0" w:line="20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This annual report contains references to our trademarks and to trademarks belonging to other entities. Solely for convenience, trademarks and trade names referred to in this annual report,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 or trademarks to imply a relationship with, or endorsement or sponsorship of us by, any other companies.</w:t>
      </w:r>
    </w:p>
    <w:p>
      <w:pPr>
        <w:spacing w:after="0" w:line="161"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CURRENCY PRESENTATION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this annual report, unless otherwise specified or the context otherwise requires:</w:t>
      </w:r>
    </w:p>
    <w:p>
      <w:pPr>
        <w:spacing w:after="0" w:line="198" w:lineRule="exact"/>
        <w:rPr>
          <w:sz w:val="20"/>
          <w:szCs w:val="20"/>
          <w:color w:val="auto"/>
        </w:rPr>
      </w:pPr>
    </w:p>
    <w:p>
      <w:pPr>
        <w:ind w:left="860" w:hanging="291"/>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“U.S.$”, “$” and “U.S. dollar” each refers to the United States dollar;</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“COP” refers to the Colombian peso, the lawful currency of Colombia; and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“Reais” and “R$” refers to the Brazilian real, the lawful currency of Brazil.</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We have translated some of the local currency amounts contained in this annual report into U.S. dollars for convenience purposes only. The U.S. dollar-equivalent information presented in this annual report is provided solely for convenience and should not be construed as implying that the amounts represent, or could have been or could be converted into, U.S. dollars at such rates or at any other rate.</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Certain numbers and percentages included in this annual report have been subject to rounding adjustments. Accordingly, figures shown for the same category presented in various tables or other sections of this annual report may vary slightly, and figures shown as totals in certain tables may not be the arithmetic aggregation of the figures that precede them.</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PRESENTATION OF FINANCIAL INFORMATION</w:t>
      </w:r>
    </w:p>
    <w:p>
      <w:pPr>
        <w:spacing w:after="0" w:line="20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This annual report contains the annual audited consolidated financial statements of Procaps Group S.A. as of December 31, 2021, 2020 and January 1, 2020, and for the years ended December 31, 2021, 2020 and 2019 (the “Annual Audited Consolidated Financial Statements”).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Annual Audited Consolidated Financial Statements have been prepared in accordance with the IFRS as issued by the IASB and in its presentation currency of the U.S. dollar.</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Annual Audited Consolidated Financial Statements are presented in U.S. dollars. Our fiscal year ends on December 31 of each year. Accordingly, all references to a particular year are to the year ended December 31 of that year.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Non-IFRS Information</w:t>
      </w:r>
    </w:p>
    <w:p>
      <w:pPr>
        <w:spacing w:after="0" w:line="20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Our management uses certain non-IFRS financial information to assess our operating performance across periods and for business planning purposes. We believe the presentation of these non-IFRS financial measures is useful to investors as it provides additional information to facilitate comparisons of historical operating results, identify trends in our underlying operating results and provide additional insight and transparency on how we evaluate our business.</w:t>
      </w:r>
    </w:p>
    <w:p>
      <w:pPr>
        <w:spacing w:after="0" w:line="146"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use non-IFRS financial measures to budget, make operating and strategic decisions, and evaluate our performance. Below is a description of the non-IFRS financial measures we have used in this annual report, including any adjustments to the IFRS financial measures derived therefrom. We believe the non-IFRS measures should always be considered along with the related IFRS financial measures. We have provided the reconciliations between the IFRS and non-IFRS financial measures below under the heading “Operating and Financial Review and Prospects––Non-IFRS Financial Measures” in this annual report.</w:t>
      </w:r>
    </w:p>
    <w:p>
      <w:pPr>
        <w:spacing w:after="0" w:line="16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The primary non-IFRS financial measures utilized by our management is described below and reflects how we evaluate our current and prior-year operating results. As new events or circumstances arise, our management may alter the definitions of such measures to better reflect our financial performance or adopt new measures in the future. In the event any of these definitions change, or if new non-IFRS financial measures are adopted by our management, we will provide the updated definitions and present the related non-IFRS historical results on a comparable basis.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Use of Constant Currency</w:t>
      </w:r>
    </w:p>
    <w:p>
      <w:pPr>
        <w:spacing w:after="0" w:line="198"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As exchange rates are an important factor in understanding period-to-period comparisons, we believe the presentation of certain financial metrics and results on a constant currency basis in addition to the IFRS reported results helps improve investors’ ability to understand our operating results and evaluate our performance in comparison to prior periods. Constant currency information is non-IFRS financial information that compares results between periods as if exchange rates had remained constant period-over-period. We use results on a constant currency basis as one measure to evaluate our performance. We currently present revenue, cost of sales, gross profit, sales and marketing expenses, administrative expenses, Contribution Margin and Adjusted EBITDA on a constant currency basis. We calculate constant currency by calculating year-end period results using prior-period foreign currency exchange rates. We generally refer to such amounts calculated on a constant currency basis as excluding the impact of foreign exchange. These results should be considered in addition to, not as a substitute for, results reported in accordance with IFRS. Results on a constant currency basis, as we present them, may not be comparable to similarly titled measures used by other companies and are not measures of performance presented in accordance with IFRS.</w:t>
      </w:r>
    </w:p>
    <w:p>
      <w:pPr>
        <w:spacing w:after="0" w:line="143"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more information, see the discussion on constant currency in Item 5.A under the heading “Operating Results––Non-IFRS Financial Measures––Use of Constant Currency” in this annual report.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EBITDA, Adjusted EBITDA, and Adjusted EBITDA Margin</w:t>
      </w:r>
    </w:p>
    <w:p>
      <w:pPr>
        <w:spacing w:after="0" w:line="198" w:lineRule="exact"/>
        <w:rPr>
          <w:sz w:val="20"/>
          <w:szCs w:val="20"/>
          <w:color w:val="auto"/>
        </w:rPr>
      </w:pPr>
    </w:p>
    <w:p>
      <w:pPr>
        <w:jc w:val="both"/>
        <w:ind w:right="20" w:firstLine="574"/>
        <w:spacing w:after="0" w:line="272" w:lineRule="auto"/>
        <w:rPr>
          <w:sz w:val="20"/>
          <w:szCs w:val="20"/>
          <w:color w:val="auto"/>
        </w:rPr>
      </w:pPr>
      <w:r>
        <w:rPr>
          <w:rFonts w:ascii="Arial" w:cs="Arial" w:eastAsia="Arial" w:hAnsi="Arial"/>
          <w:sz w:val="15"/>
          <w:szCs w:val="15"/>
          <w:color w:val="auto"/>
        </w:rPr>
        <w:t>We define EBITDA as profit (loss) for the year before interest expense, net, income tax expense and depreciation and amortization. We define Adjusted EBITDA as EBITDA further adjusted to exclude certain isolated costs incurred as a result of the COVID-19 pandemic, certain transaction costs incurred in connection with the Business Combination, certain listing expenses incurred in connection with the Business Combination, certain costs related to business transformation initiatives, certain foreign currency translation adjustments, and certain other finance costs and other nonrecurring, nonoperational or unordinary items as the Company may deem appropriate from time to time. Adjusted EBITDA is one of the key performance indicators we use in evaluating our operating performance and in making financial, operating, and planning decisions. We believe EBITDA and Adjusted EBITDA are useful to investors in evaluating our operating performance compared to other companies in the pharmaceutical industry, as similar measures are commonly used by companies in this industry. We also report Adjusted EBITDA as a percentage of revenue as an additional measure so investors may evaluate our Adjusted EBITDA margins on revenue.</w:t>
      </w:r>
    </w:p>
    <w:p>
      <w:pPr>
        <w:spacing w:after="0" w:line="157"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more information and a reconciliation of profit (loss) for the year to EBITDA, Adjusted EBITDA and Adjusted EBITDA margin, see Item 5.A under the heading “Operating Results––Non-IFRS Financial Measures––EBITDA, Adjusted EBITDA, and Adjusted EBITDA Margin” in this annual report.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Contribution Margin</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We define Contribution Margin as gross profit less selling expenses. Contribution Margin is one of the key performance indicators we use in evaluating our profitability. We believe Contribution Margin is useful to investors in evaluating our operating performance compared to other companies in the pharmaceutical industry, as similar measures are commonly used by companies in this industry.</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more information and a reconciliation of gross profit to Contribution Margin, see Item 5.A under the heading “Operating Results––Non-IFRS Financial Measures–– Contribution Margin” in this annual report.</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PRESENTATION OF INDUSTRY AND MARKET DATA</w:t>
      </w:r>
    </w:p>
    <w:p>
      <w:pPr>
        <w:spacing w:after="0" w:line="202"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In this annual report, we rely on, and refer to, information regarding our business and the markets in which we operate and compete. The market data and certain economic and industry data and forecasts used in this annual report were obtained from internal surveys, market research, governmental and other publicly available information and independent industry publications. Industry publications, surveys and forecasts generally state that the information contained therein has been obtained from sources believed to be reliable, but that the accuracy and completeness of such information is not guaranteed. We believe that these industry publications, surveys and forecasts are reliable, but we have not independently verified them and cannot guarantee their accuracy or completeness.</w:t>
      </w:r>
    </w:p>
    <w:p>
      <w:pPr>
        <w:spacing w:after="0" w:line="15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Certain market share information and other statements presented herein regarding our position relative to our competitors are not based on published statistical data or information obtained from independent third parties, but reflects our best estimates. We have based these estimates upon information obtained from publicly available information from our competitors in the industry in which we operate.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ITEM 1. IDENTITY OF DIRECTORS, SENIOR MANAGEMENT AND ADVISERS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OFFER STATISTICS AND EXPECTED TIMETABLE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KEY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SELECTED FINANCIAL DATA</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information presented below is derived from our Annual Audited Consolidated Financial Statements. The information presented below should be read alongside our Annual Audited Consolidated Financial Statements and accompanying footnotes included elsewhere in this annual report. You should read the following financial data together with “</w:t>
      </w:r>
      <w:r>
        <w:rPr>
          <w:rFonts w:ascii="Arial" w:cs="Arial" w:eastAsia="Arial" w:hAnsi="Arial"/>
          <w:sz w:val="16"/>
          <w:szCs w:val="16"/>
          <w:i w:val="1"/>
          <w:iCs w:val="1"/>
          <w:color w:val="auto"/>
        </w:rPr>
        <w:t>—</w:t>
      </w:r>
      <w:r>
        <w:rPr>
          <w:rFonts w:ascii="Arial" w:cs="Arial" w:eastAsia="Arial" w:hAnsi="Arial"/>
          <w:sz w:val="16"/>
          <w:szCs w:val="16"/>
          <w:color w:val="auto"/>
        </w:rPr>
        <w:t>Risk Factors” and Item 5 under the heading “Operating and Financial Review and Prospects” of this annual report.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table highlights key measures of Procaps’ financial condition and results of operations (in thousands of U.S. dollars, except for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ind w:left="540"/>
              <w:spacing w:after="0"/>
              <w:rPr>
                <w:sz w:val="20"/>
                <w:szCs w:val="20"/>
                <w:color w:val="auto"/>
              </w:rPr>
            </w:pPr>
            <w:r>
              <w:rPr>
                <w:rFonts w:ascii="Arial" w:cs="Arial" w:eastAsia="Arial" w:hAnsi="Arial"/>
                <w:sz w:val="16"/>
                <w:szCs w:val="16"/>
                <w:b w:val="1"/>
                <w:bCs w:val="1"/>
                <w:color w:val="auto"/>
                <w:w w:val="89"/>
              </w:rPr>
              <w:t>For the Year ended 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2"/>
              </w:rPr>
              <w:t>Consolidated Statement of Profit or Loss and Other Comprehensive Income:</w:t>
            </w:r>
          </w:p>
        </w:tc>
        <w:tc>
          <w:tcPr>
            <w:tcW w:w="1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409,742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331,467</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324,792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6"/>
                <w:szCs w:val="16"/>
                <w:color w:val="auto"/>
              </w:rPr>
              <w:t>Cost of sales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(174,029)</w:t>
            </w: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(140,153)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(142,294)</w:t>
            </w:r>
          </w:p>
        </w:tc>
        <w:tc>
          <w:tcPr>
            <w:tcW w:w="0" w:type="dxa"/>
            <w:vAlign w:val="bottom"/>
          </w:tcPr>
          <w:p>
            <w:pPr>
              <w:spacing w:after="0"/>
              <w:rPr>
                <w:sz w:val="1"/>
                <w:szCs w:val="1"/>
                <w:color w:val="auto"/>
              </w:rPr>
            </w:pPr>
          </w:p>
        </w:tc>
      </w:tr>
      <w:tr>
        <w:trPr>
          <w:trHeight w:val="191"/>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18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235,713</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191,314</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182,498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20"/>
                <w:szCs w:val="20"/>
                <w:color w:val="auto"/>
              </w:rPr>
            </w:pPr>
            <w:r>
              <w:rPr>
                <w:rFonts w:ascii="Arial" w:cs="Arial" w:eastAsia="Arial" w:hAnsi="Arial"/>
                <w:sz w:val="16"/>
                <w:szCs w:val="16"/>
                <w:color w:val="auto"/>
              </w:rPr>
              <w:t>Sales and marketing expenses</w:t>
            </w: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(83,057)</w:t>
            </w: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(69,629)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(84,810)</w:t>
            </w: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Administrative expenses</w:t>
            </w:r>
          </w:p>
        </w:tc>
        <w:tc>
          <w:tcPr>
            <w:tcW w:w="1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(82,187)</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(58,631)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(60,257)</w:t>
            </w:r>
          </w:p>
        </w:tc>
        <w:tc>
          <w:tcPr>
            <w:tcW w:w="0" w:type="dxa"/>
            <w:vAlign w:val="bottom"/>
          </w:tcPr>
          <w:p>
            <w:pPr>
              <w:spacing w:after="0"/>
              <w:rPr>
                <w:sz w:val="1"/>
                <w:szCs w:val="1"/>
                <w:color w:val="auto"/>
              </w:rPr>
            </w:pPr>
          </w:p>
        </w:tc>
      </w:tr>
      <w:tr>
        <w:trPr>
          <w:trHeight w:val="191"/>
        </w:trPr>
        <w:tc>
          <w:tcPr>
            <w:tcW w:w="5400" w:type="dxa"/>
            <w:vAlign w:val="bottom"/>
          </w:tcPr>
          <w:p>
            <w:pPr>
              <w:spacing w:after="0"/>
              <w:rPr>
                <w:sz w:val="20"/>
                <w:szCs w:val="20"/>
                <w:color w:val="auto"/>
              </w:rPr>
            </w:pPr>
            <w:r>
              <w:rPr>
                <w:rFonts w:ascii="Arial" w:cs="Arial" w:eastAsia="Arial" w:hAnsi="Arial"/>
                <w:sz w:val="16"/>
                <w:szCs w:val="16"/>
                <w:color w:val="auto"/>
              </w:rPr>
              <w:t>Finance expenses, net</w:t>
            </w: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(78,636)</w:t>
            </w: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(54,489)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(42,983)</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Other expenses, net</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(78,991)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(4,426)</w:t>
            </w:r>
          </w:p>
        </w:tc>
        <w:tc>
          <w:tcPr>
            <w:tcW w:w="0" w:type="dxa"/>
            <w:vAlign w:val="bottom"/>
          </w:tcPr>
          <w:p>
            <w:pPr>
              <w:spacing w:after="0"/>
              <w:rPr>
                <w:sz w:val="1"/>
                <w:szCs w:val="1"/>
                <w:color w:val="auto"/>
              </w:rPr>
            </w:pPr>
          </w:p>
        </w:tc>
      </w:tr>
      <w:tr>
        <w:trPr>
          <w:trHeight w:val="175"/>
        </w:trPr>
        <w:tc>
          <w:tcPr>
            <w:tcW w:w="540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(Loss)/Income before tax</w:t>
            </w:r>
          </w:p>
        </w:tc>
        <w:tc>
          <w:tcPr>
            <w:tcW w:w="18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(87,158)</w:t>
            </w: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849</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(9,978)</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(13,705)</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(7,035)</w:t>
            </w:r>
          </w:p>
        </w:tc>
        <w:tc>
          <w:tcPr>
            <w:tcW w:w="0" w:type="dxa"/>
            <w:vAlign w:val="bottom"/>
          </w:tcPr>
          <w:p>
            <w:pPr>
              <w:spacing w:after="0"/>
              <w:rPr>
                <w:sz w:val="1"/>
                <w:szCs w:val="1"/>
                <w:color w:val="auto"/>
              </w:rPr>
            </w:pPr>
          </w:p>
        </w:tc>
      </w:tr>
      <w:tr>
        <w:trPr>
          <w:trHeight w:val="215"/>
        </w:trPr>
        <w:tc>
          <w:tcPr>
            <w:tcW w:w="54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Loss for the year</w:t>
            </w:r>
          </w:p>
        </w:tc>
        <w:tc>
          <w:tcPr>
            <w:tcW w:w="192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(100,863</w:t>
            </w:r>
          </w:p>
        </w:tc>
        <w:tc>
          <w:tcPr>
            <w:tcW w:w="240" w:type="dxa"/>
            <w:vAlign w:val="bottom"/>
            <w:tcBorders>
              <w:top w:val="single" w:sz="8" w:color="CCEEFF"/>
            </w:tcBorders>
          </w:tcPr>
          <w:p>
            <w:pPr>
              <w:jc w:val="right"/>
              <w:ind w:right="160"/>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(10,447</w:t>
            </w:r>
          </w:p>
        </w:tc>
        <w:tc>
          <w:tcPr>
            <w:tcW w:w="220" w:type="dxa"/>
            <w:vAlign w:val="bottom"/>
            <w:tcBorders>
              <w:top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(17,013</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0" w:type="dxa"/>
            <w:vAlign w:val="bottom"/>
            <w:vMerge w:val="restart"/>
          </w:tcPr>
          <w:p>
            <w:pPr>
              <w:jc w:val="right"/>
              <w:ind w:right="14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5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2" w:right="31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ind w:left="820"/>
              <w:spacing w:after="0"/>
              <w:rPr>
                <w:sz w:val="20"/>
                <w:szCs w:val="20"/>
                <w:color w:val="auto"/>
              </w:rPr>
            </w:pPr>
            <w:r>
              <w:rPr>
                <w:rFonts w:ascii="Arial" w:cs="Arial" w:eastAsia="Arial" w:hAnsi="Arial"/>
                <w:sz w:val="16"/>
                <w:szCs w:val="16"/>
                <w:b w:val="1"/>
                <w:bCs w:val="1"/>
                <w:color w:val="auto"/>
                <w:w w:val="94"/>
              </w:rPr>
              <w:t>As of</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As of</w:t>
            </w:r>
          </w:p>
        </w:tc>
      </w:tr>
      <w:tr>
        <w:trPr>
          <w:trHeight w:val="212"/>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1000"/>
              <w:spacing w:after="0"/>
              <w:rPr>
                <w:sz w:val="20"/>
                <w:szCs w:val="20"/>
                <w:color w:val="auto"/>
              </w:rPr>
            </w:pPr>
            <w:r>
              <w:rPr>
                <w:rFonts w:ascii="Arial" w:cs="Arial" w:eastAsia="Arial" w:hAnsi="Arial"/>
                <w:sz w:val="16"/>
                <w:szCs w:val="16"/>
                <w:b w:val="1"/>
                <w:bCs w:val="1"/>
                <w:color w:val="auto"/>
              </w:rPr>
              <w:t>December 31,</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January 1,</w:t>
            </w:r>
          </w:p>
        </w:tc>
      </w:tr>
      <w:tr>
        <w:trPr>
          <w:trHeight w:val="175"/>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20"/>
              <w:spacing w:after="0" w:line="175" w:lineRule="exact"/>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5"/>
                <w:szCs w:val="15"/>
                <w:color w:val="auto"/>
              </w:rPr>
            </w:pPr>
          </w:p>
        </w:tc>
        <w:tc>
          <w:tcPr>
            <w:tcW w:w="11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4"/>
              </w:rPr>
              <w:t>2020</w:t>
            </w:r>
          </w:p>
        </w:tc>
        <w:tc>
          <w:tcPr>
            <w:tcW w:w="120" w:type="dxa"/>
            <w:vAlign w:val="bottom"/>
          </w:tcPr>
          <w:p>
            <w:pPr>
              <w:spacing w:after="0"/>
              <w:rPr>
                <w:sz w:val="15"/>
                <w:szCs w:val="15"/>
                <w:color w:val="auto"/>
              </w:rPr>
            </w:pPr>
          </w:p>
        </w:tc>
      </w:tr>
      <w:tr>
        <w:trPr>
          <w:trHeight w:val="212"/>
        </w:trPr>
        <w:tc>
          <w:tcPr>
            <w:tcW w:w="7200" w:type="dxa"/>
            <w:vAlign w:val="bottom"/>
          </w:tcPr>
          <w:p>
            <w:pPr>
              <w:spacing w:after="0"/>
              <w:rPr>
                <w:sz w:val="20"/>
                <w:szCs w:val="20"/>
                <w:color w:val="auto"/>
              </w:rPr>
            </w:pPr>
            <w:r>
              <w:rPr>
                <w:rFonts w:ascii="Arial" w:cs="Arial" w:eastAsia="Arial" w:hAnsi="Arial"/>
                <w:sz w:val="16"/>
                <w:szCs w:val="16"/>
                <w:b w:val="1"/>
                <w:bCs w:val="1"/>
                <w:color w:val="auto"/>
              </w:rPr>
              <w:t>Consolidated Statement of Financial Position (at period end)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2"/>
              </w:rPr>
              <w:t>(as restated)</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(as restated)</w:t>
            </w:r>
          </w:p>
        </w:tc>
      </w:tr>
      <w:tr>
        <w:trPr>
          <w:trHeight w:val="175"/>
        </w:trPr>
        <w:tc>
          <w:tcPr>
            <w:tcW w:w="720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8"/>
        </w:trPr>
        <w:tc>
          <w:tcPr>
            <w:tcW w:w="720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72,638</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70,335</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74,915</w:t>
            </w:r>
          </w:p>
        </w:tc>
      </w:tr>
      <w:tr>
        <w:trPr>
          <w:trHeight w:val="191"/>
        </w:trPr>
        <w:tc>
          <w:tcPr>
            <w:tcW w:w="7200" w:type="dxa"/>
            <w:vAlign w:val="bottom"/>
          </w:tcPr>
          <w:p>
            <w:pPr>
              <w:ind w:left="280"/>
              <w:spacing w:after="0"/>
              <w:rPr>
                <w:sz w:val="20"/>
                <w:szCs w:val="20"/>
                <w:color w:val="auto"/>
              </w:rPr>
            </w:pPr>
            <w:r>
              <w:rPr>
                <w:rFonts w:ascii="Arial" w:cs="Arial" w:eastAsia="Arial" w:hAnsi="Arial"/>
                <w:sz w:val="16"/>
                <w:szCs w:val="16"/>
                <w:color w:val="auto"/>
              </w:rPr>
              <w:t>Right-of-use assets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40,167</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43,195</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38,296</w:t>
            </w: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Intangible assets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30,171</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27,583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23,201</w:t>
            </w:r>
          </w:p>
        </w:tc>
      </w:tr>
      <w:tr>
        <w:trPr>
          <w:trHeight w:val="207"/>
        </w:trPr>
        <w:tc>
          <w:tcPr>
            <w:tcW w:w="7200" w:type="dxa"/>
            <w:vAlign w:val="bottom"/>
          </w:tcPr>
          <w:p>
            <w:pPr>
              <w:ind w:left="280"/>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7,067</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21,769</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16,215</w:t>
            </w:r>
          </w:p>
        </w:tc>
      </w:tr>
      <w:tr>
        <w:trPr>
          <w:trHeight w:val="211"/>
        </w:trPr>
        <w:tc>
          <w:tcPr>
            <w:tcW w:w="7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non-current assets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164,076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174,836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165,279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7200" w:type="dxa"/>
            <w:vAlign w:val="bottom"/>
          </w:tcPr>
          <w:p>
            <w:pPr>
              <w:ind w:left="140"/>
              <w:spacing w:after="0" w:line="175" w:lineRule="exact"/>
              <w:rPr>
                <w:sz w:val="20"/>
                <w:szCs w:val="20"/>
                <w:color w:val="auto"/>
              </w:rPr>
            </w:pPr>
            <w:r>
              <w:rPr>
                <w:rFonts w:ascii="Arial" w:cs="Arial" w:eastAsia="Arial" w:hAnsi="Arial"/>
                <w:sz w:val="16"/>
                <w:szCs w:val="16"/>
                <w:b w:val="1"/>
                <w:bCs w:val="1"/>
                <w:color w:val="auto"/>
              </w:rPr>
              <w:t>Current assets: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72,112</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2,042</w:t>
            </w:r>
          </w:p>
        </w:tc>
      </w:tr>
      <w:tr>
        <w:trPr>
          <w:trHeight w:val="191"/>
        </w:trPr>
        <w:tc>
          <w:tcPr>
            <w:tcW w:w="7200" w:type="dxa"/>
            <w:vAlign w:val="bottom"/>
          </w:tcPr>
          <w:p>
            <w:pPr>
              <w:ind w:left="280"/>
              <w:spacing w:after="0"/>
              <w:rPr>
                <w:sz w:val="20"/>
                <w:szCs w:val="20"/>
                <w:color w:val="auto"/>
              </w:rPr>
            </w:pPr>
            <w:r>
              <w:rPr>
                <w:rFonts w:ascii="Arial" w:cs="Arial" w:eastAsia="Arial" w:hAnsi="Arial"/>
                <w:sz w:val="16"/>
                <w:szCs w:val="16"/>
                <w:color w:val="auto"/>
              </w:rPr>
              <w:t>Trade and other receivables, net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117,449</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96,493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96,466</w:t>
            </w: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 net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79,430</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64,284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65,002</w:t>
            </w:r>
          </w:p>
        </w:tc>
      </w:tr>
      <w:tr>
        <w:trPr>
          <w:trHeight w:val="207"/>
        </w:trPr>
        <w:tc>
          <w:tcPr>
            <w:tcW w:w="7200" w:type="dxa"/>
            <w:vAlign w:val="bottom"/>
          </w:tcPr>
          <w:p>
            <w:pPr>
              <w:ind w:left="280"/>
              <w:spacing w:after="0"/>
              <w:rPr>
                <w:sz w:val="20"/>
                <w:szCs w:val="20"/>
                <w:color w:val="auto"/>
              </w:rPr>
            </w:pPr>
            <w:r>
              <w:rPr>
                <w:rFonts w:ascii="Arial" w:cs="Arial" w:eastAsia="Arial" w:hAnsi="Arial"/>
                <w:sz w:val="16"/>
                <w:szCs w:val="16"/>
                <w:color w:val="auto"/>
              </w:rPr>
              <w:t>Current tax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22,082</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16,774</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6,697</w:t>
            </w:r>
          </w:p>
        </w:tc>
      </w:tr>
      <w:tr>
        <w:trPr>
          <w:trHeight w:val="211"/>
        </w:trPr>
        <w:tc>
          <w:tcPr>
            <w:tcW w:w="72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Total current assets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298,059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184,702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172,449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43"/>
        </w:trPr>
        <w:tc>
          <w:tcPr>
            <w:tcW w:w="720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462,135</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359,538</w:t>
            </w:r>
          </w:p>
        </w:tc>
        <w:tc>
          <w:tcPr>
            <w:tcW w:w="2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337,728</w:t>
            </w:r>
          </w:p>
        </w:tc>
      </w:tr>
      <w:tr>
        <w:trPr>
          <w:trHeight w:val="187"/>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200" w:type="dxa"/>
            <w:vAlign w:val="bottom"/>
          </w:tcPr>
          <w:p>
            <w:pPr>
              <w:ind w:left="140"/>
              <w:spacing w:after="0"/>
              <w:rPr>
                <w:sz w:val="20"/>
                <w:szCs w:val="20"/>
                <w:color w:val="auto"/>
              </w:rPr>
            </w:pPr>
            <w:r>
              <w:rPr>
                <w:rFonts w:ascii="Arial" w:cs="Arial" w:eastAsia="Arial" w:hAnsi="Arial"/>
                <w:sz w:val="16"/>
                <w:szCs w:val="16"/>
                <w:b w:val="1"/>
                <w:bCs w:val="1"/>
                <w:color w:val="auto"/>
              </w:rPr>
              <w:t>Equity (Deficit):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 premium</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377,677</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54,412</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54,412</w:t>
            </w:r>
          </w:p>
        </w:tc>
      </w:tr>
      <w:tr>
        <w:trPr>
          <w:trHeight w:val="191"/>
        </w:trPr>
        <w:tc>
          <w:tcPr>
            <w:tcW w:w="7200" w:type="dxa"/>
            <w:vAlign w:val="bottom"/>
          </w:tcPr>
          <w:p>
            <w:pPr>
              <w:ind w:left="280"/>
              <w:spacing w:after="0"/>
              <w:rPr>
                <w:sz w:val="20"/>
                <w:szCs w:val="20"/>
                <w:color w:val="auto"/>
              </w:rPr>
            </w:pPr>
            <w:r>
              <w:rPr>
                <w:rFonts w:ascii="Arial" w:cs="Arial" w:eastAsia="Arial" w:hAnsi="Arial"/>
                <w:sz w:val="16"/>
                <w:szCs w:val="16"/>
                <w:color w:val="auto"/>
              </w:rPr>
              <w:t>Reserves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42,749</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39,897</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28,681</w:t>
            </w: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(431,059)</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(327,344)</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(305,634)</w:t>
            </w:r>
          </w:p>
        </w:tc>
      </w:tr>
      <w:tr>
        <w:trPr>
          <w:trHeight w:val="207"/>
        </w:trPr>
        <w:tc>
          <w:tcPr>
            <w:tcW w:w="720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(27,778)</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(24,421)</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(23,753)</w:t>
            </w:r>
          </w:p>
        </w:tc>
      </w:tr>
      <w:tr>
        <w:trPr>
          <w:trHeight w:val="191"/>
        </w:trPr>
        <w:tc>
          <w:tcPr>
            <w:tcW w:w="72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equity (deficit)</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(38,340)</w:t>
            </w: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(254,678)</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(243,947)</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200" w:type="dxa"/>
            <w:vAlign w:val="bottom"/>
          </w:tcPr>
          <w:p>
            <w:pPr>
              <w:ind w:left="140"/>
              <w:spacing w:after="0"/>
              <w:rPr>
                <w:sz w:val="20"/>
                <w:szCs w:val="20"/>
                <w:color w:val="auto"/>
              </w:rPr>
            </w:pPr>
            <w:r>
              <w:rPr>
                <w:rFonts w:ascii="Arial" w:cs="Arial" w:eastAsia="Arial" w:hAnsi="Arial"/>
                <w:sz w:val="16"/>
                <w:szCs w:val="16"/>
                <w:b w:val="1"/>
                <w:bCs w:val="1"/>
                <w:color w:val="auto"/>
              </w:rPr>
              <w:t>Non-current liabilities: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178,720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339,738</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320,462</w:t>
            </w:r>
          </w:p>
        </w:tc>
      </w:tr>
      <w:tr>
        <w:trPr>
          <w:trHeight w:val="191"/>
        </w:trPr>
        <w:tc>
          <w:tcPr>
            <w:tcW w:w="7200" w:type="dxa"/>
            <w:vAlign w:val="bottom"/>
          </w:tcPr>
          <w:p>
            <w:pPr>
              <w:ind w:left="280"/>
              <w:spacing w:after="0"/>
              <w:rPr>
                <w:sz w:val="20"/>
                <w:szCs w:val="20"/>
                <w:color w:val="auto"/>
              </w:rPr>
            </w:pPr>
            <w:r>
              <w:rPr>
                <w:rFonts w:ascii="Arial" w:cs="Arial" w:eastAsia="Arial" w:hAnsi="Arial"/>
                <w:sz w:val="16"/>
                <w:szCs w:val="16"/>
                <w:color w:val="auto"/>
              </w:rPr>
              <w:t>Amounts owed to related parties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12,163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Warrant liabilities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23,112</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7200" w:type="dxa"/>
            <w:vAlign w:val="bottom"/>
          </w:tcPr>
          <w:p>
            <w:pPr>
              <w:ind w:left="280"/>
              <w:spacing w:after="0"/>
              <w:rPr>
                <w:sz w:val="20"/>
                <w:szCs w:val="20"/>
                <w:color w:val="auto"/>
              </w:rPr>
            </w:pPr>
            <w:r>
              <w:rPr>
                <w:rFonts w:ascii="Arial" w:cs="Arial" w:eastAsia="Arial" w:hAnsi="Arial"/>
                <w:sz w:val="16"/>
                <w:szCs w:val="16"/>
                <w:color w:val="auto"/>
              </w:rPr>
              <w:t>Shares held in escrow</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101,859</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tax liabilities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6,070</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18,890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7,659</w:t>
            </w:r>
          </w:p>
        </w:tc>
      </w:tr>
      <w:tr>
        <w:trPr>
          <w:trHeight w:val="207"/>
        </w:trPr>
        <w:tc>
          <w:tcPr>
            <w:tcW w:w="720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2,750</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3,797</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5,077</w:t>
            </w:r>
          </w:p>
        </w:tc>
      </w:tr>
      <w:tr>
        <w:trPr>
          <w:trHeight w:val="211"/>
        </w:trPr>
        <w:tc>
          <w:tcPr>
            <w:tcW w:w="7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non-current liabilities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312,511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374,588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333,198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7200" w:type="dxa"/>
            <w:vAlign w:val="bottom"/>
          </w:tcPr>
          <w:p>
            <w:pPr>
              <w:ind w:left="140"/>
              <w:spacing w:after="0" w:line="175" w:lineRule="exact"/>
              <w:rPr>
                <w:sz w:val="20"/>
                <w:szCs w:val="20"/>
                <w:color w:val="auto"/>
              </w:rPr>
            </w:pPr>
            <w:r>
              <w:rPr>
                <w:rFonts w:ascii="Arial" w:cs="Arial" w:eastAsia="Arial" w:hAnsi="Arial"/>
                <w:sz w:val="16"/>
                <w:szCs w:val="16"/>
                <w:b w:val="1"/>
                <w:bCs w:val="1"/>
                <w:color w:val="auto"/>
              </w:rPr>
              <w:t>Current liabilities: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74,646</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114,780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99,975</w:t>
            </w:r>
          </w:p>
        </w:tc>
      </w:tr>
      <w:tr>
        <w:trPr>
          <w:trHeight w:val="191"/>
        </w:trPr>
        <w:tc>
          <w:tcPr>
            <w:tcW w:w="7200" w:type="dxa"/>
            <w:vAlign w:val="bottom"/>
          </w:tcPr>
          <w:p>
            <w:pPr>
              <w:ind w:left="280"/>
              <w:spacing w:after="0"/>
              <w:rPr>
                <w:sz w:val="20"/>
                <w:szCs w:val="20"/>
                <w:color w:val="auto"/>
              </w:rPr>
            </w:pPr>
            <w:r>
              <w:rPr>
                <w:rFonts w:ascii="Arial" w:cs="Arial" w:eastAsia="Arial" w:hAnsi="Arial"/>
                <w:sz w:val="16"/>
                <w:szCs w:val="16"/>
                <w:color w:val="auto"/>
              </w:rPr>
              <w:t>Trade and other payables, net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85,381</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94,116</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104,608</w:t>
            </w: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owed to related parties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8,450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8,459</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25,091</w:t>
            </w:r>
          </w:p>
        </w:tc>
      </w:tr>
      <w:tr>
        <w:trPr>
          <w:trHeight w:val="191"/>
        </w:trPr>
        <w:tc>
          <w:tcPr>
            <w:tcW w:w="7200" w:type="dxa"/>
            <w:vAlign w:val="bottom"/>
          </w:tcPr>
          <w:p>
            <w:pPr>
              <w:ind w:left="280"/>
              <w:spacing w:after="0"/>
              <w:rPr>
                <w:sz w:val="20"/>
                <w:szCs w:val="20"/>
                <w:color w:val="auto"/>
              </w:rPr>
            </w:pPr>
            <w:r>
              <w:rPr>
                <w:rFonts w:ascii="Arial" w:cs="Arial" w:eastAsia="Arial" w:hAnsi="Arial"/>
                <w:sz w:val="16"/>
                <w:szCs w:val="16"/>
                <w:color w:val="auto"/>
              </w:rPr>
              <w:t>Current tax liabilities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11,756</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9,393</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7,542</w:t>
            </w:r>
          </w:p>
        </w:tc>
      </w:tr>
      <w:tr>
        <w:trPr>
          <w:trHeight w:val="223"/>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liabilities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7,230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11,051</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8,985</w:t>
            </w:r>
          </w:p>
        </w:tc>
      </w:tr>
      <w:tr>
        <w:trPr>
          <w:trHeight w:val="179"/>
        </w:trPr>
        <w:tc>
          <w:tcPr>
            <w:tcW w:w="7200" w:type="dxa"/>
            <w:vAlign w:val="bottom"/>
            <w:tcBorders>
              <w:top w:val="single" w:sz="8" w:color="CCEEFF"/>
              <w:bottom w:val="single" w:sz="8" w:color="CCEEFF"/>
            </w:tcBorders>
          </w:tcPr>
          <w:p>
            <w:pPr>
              <w:ind w:left="140"/>
              <w:spacing w:after="0" w:line="175" w:lineRule="exact"/>
              <w:rPr>
                <w:sz w:val="20"/>
                <w:szCs w:val="20"/>
                <w:color w:val="auto"/>
              </w:rPr>
            </w:pPr>
            <w:r>
              <w:rPr>
                <w:rFonts w:ascii="Arial" w:cs="Arial" w:eastAsia="Arial" w:hAnsi="Arial"/>
                <w:sz w:val="16"/>
                <w:szCs w:val="16"/>
                <w:b w:val="1"/>
                <w:bCs w:val="1"/>
                <w:color w:val="auto"/>
              </w:rPr>
              <w:t>Total current liabilities</w:t>
            </w:r>
          </w:p>
        </w:tc>
        <w:tc>
          <w:tcPr>
            <w:tcW w:w="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187,964</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239,628</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248,477</w:t>
            </w:r>
          </w:p>
        </w:tc>
        <w:tc>
          <w:tcPr>
            <w:tcW w:w="120" w:type="dxa"/>
            <w:vAlign w:val="bottom"/>
            <w:tcBorders>
              <w:top w:val="single" w:sz="8" w:color="CCEEFF"/>
              <w:bottom w:val="single" w:sz="8" w:color="CCEEFF"/>
            </w:tcBorders>
          </w:tcPr>
          <w:p>
            <w:pPr>
              <w:spacing w:after="0"/>
              <w:rPr>
                <w:sz w:val="15"/>
                <w:szCs w:val="15"/>
                <w:color w:val="auto"/>
              </w:rPr>
            </w:pPr>
          </w:p>
        </w:tc>
      </w:tr>
      <w:tr>
        <w:trPr>
          <w:trHeight w:val="219"/>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stockholders’ equity (deficit)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462,135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359,538</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337,728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9"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Comparative figures as of the years ended December 31, 2020 and 2019 were restated to reflect the revised classification of certain factoring and reverse factoring arrangements previously classified as part of </w:t>
      </w:r>
      <w:r>
        <w:rPr>
          <w:rFonts w:ascii="Arial" w:cs="Arial" w:eastAsia="Arial" w:hAnsi="Arial"/>
          <w:sz w:val="16"/>
          <w:szCs w:val="16"/>
          <w:i w:val="1"/>
          <w:iCs w:val="1"/>
          <w:color w:val="auto"/>
        </w:rPr>
        <w:t>Trade and other payables (current)</w:t>
      </w:r>
      <w:r>
        <w:rPr>
          <w:rFonts w:ascii="Arial" w:cs="Arial" w:eastAsia="Arial" w:hAnsi="Arial"/>
          <w:sz w:val="16"/>
          <w:szCs w:val="16"/>
          <w:color w:val="auto"/>
        </w:rPr>
        <w:t xml:space="preserve"> into </w:t>
      </w:r>
      <w:r>
        <w:rPr>
          <w:rFonts w:ascii="Arial" w:cs="Arial" w:eastAsia="Arial" w:hAnsi="Arial"/>
          <w:sz w:val="16"/>
          <w:szCs w:val="16"/>
          <w:i w:val="1"/>
          <w:iCs w:val="1"/>
          <w:color w:val="auto"/>
        </w:rPr>
        <w:t>Borrowings (current)</w:t>
      </w:r>
      <w:r>
        <w:rPr>
          <w:rFonts w:ascii="Arial" w:cs="Arial" w:eastAsia="Arial" w:hAnsi="Arial"/>
          <w:sz w:val="16"/>
          <w:szCs w:val="16"/>
          <w:color w:val="auto"/>
        </w:rPr>
        <w:t>. For further information, see under the heading “Certain Conventions ––Restatement of Previously Issued Financial Statements” in this annual report and Note 2.4 “Restatement of Previously Issued Financial Statements” to the Annual Audited Consolidated Financial Statements included elsewhere in this annual report.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20"/>
              <w:spacing w:after="0" w:line="175" w:lineRule="exact"/>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20"/>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40" w:type="dxa"/>
            <w:vAlign w:val="bottom"/>
          </w:tcPr>
          <w:p>
            <w:pPr>
              <w:spacing w:after="0"/>
              <w:rPr>
                <w:sz w:val="20"/>
                <w:szCs w:val="20"/>
                <w:color w:val="auto"/>
              </w:rPr>
            </w:pPr>
            <w:r>
              <w:rPr>
                <w:rFonts w:ascii="Arial" w:cs="Arial" w:eastAsia="Arial" w:hAnsi="Arial"/>
                <w:sz w:val="16"/>
                <w:szCs w:val="16"/>
                <w:b w:val="1"/>
                <w:bCs w:val="1"/>
                <w:color w:val="auto"/>
              </w:rPr>
              <w:t>Consolidated Statement of Cash Flows: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(as restated)</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8"/>
              </w:rPr>
              <w:t>(as restated)</w:t>
            </w:r>
          </w:p>
        </w:tc>
        <w:tc>
          <w:tcPr>
            <w:tcW w:w="0" w:type="dxa"/>
            <w:vAlign w:val="bottom"/>
          </w:tcPr>
          <w:p>
            <w:pPr>
              <w:spacing w:after="0"/>
              <w:rPr>
                <w:sz w:val="1"/>
                <w:szCs w:val="1"/>
                <w:color w:val="auto"/>
              </w:rPr>
            </w:pPr>
          </w:p>
        </w:tc>
      </w:tr>
      <w:tr>
        <w:trPr>
          <w:trHeight w:val="191"/>
        </w:trPr>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Cash flow provided by operating activities</w:t>
            </w:r>
          </w:p>
        </w:tc>
        <w:tc>
          <w:tcPr>
            <w:tcW w:w="2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37,303</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70,920</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68,286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tcPr>
          <w:p>
            <w:pPr>
              <w:spacing w:after="0"/>
              <w:rPr>
                <w:sz w:val="20"/>
                <w:szCs w:val="20"/>
                <w:color w:val="auto"/>
              </w:rPr>
            </w:pPr>
            <w:r>
              <w:rPr>
                <w:rFonts w:ascii="Arial" w:cs="Arial" w:eastAsia="Arial" w:hAnsi="Arial"/>
                <w:sz w:val="16"/>
                <w:szCs w:val="16"/>
                <w:color w:val="auto"/>
              </w:rPr>
              <w:t>Cash flow used in investing activities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(23,703)</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(17,091)</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(12,069)</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Cash flow generated from (used in) financing activities</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58,044</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(40,509)</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(46,949)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Net increase in cash</w:t>
            </w:r>
          </w:p>
        </w:tc>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71,644</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13,320</w:t>
            </w:r>
          </w:p>
        </w:tc>
        <w:tc>
          <w:tcPr>
            <w:tcW w:w="2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9,268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60" w:type="dxa"/>
            <w:vAlign w:val="bottom"/>
            <w:vMerge w:val="restart"/>
          </w:tcPr>
          <w:p>
            <w:pPr>
              <w:jc w:val="right"/>
              <w:ind w:right="14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2" w:right="319" w:bottom="1440" w:gutter="0" w:footer="0" w:header="0"/>
        </w:sectPr>
      </w:pPr>
    </w:p>
    <w:bookmarkStart w:id="14" w:name="page15"/>
    <w:bookmarkEnd w:id="14"/>
    <w:p>
      <w:pPr>
        <w:jc w:val="both"/>
        <w:ind w:left="4" w:firstLine="574"/>
        <w:spacing w:after="0" w:line="295" w:lineRule="auto"/>
        <w:rPr>
          <w:sz w:val="20"/>
          <w:szCs w:val="20"/>
          <w:color w:val="auto"/>
        </w:rPr>
      </w:pPr>
      <w:r>
        <w:rPr>
          <w:rFonts w:ascii="Arial" w:cs="Arial" w:eastAsia="Arial" w:hAnsi="Arial"/>
          <w:sz w:val="14"/>
          <w:szCs w:val="14"/>
          <w:color w:val="auto"/>
        </w:rPr>
        <w:t xml:space="preserve">Comparative figures for the years ended December 31, 2020 and 2019 were restated to reflect the revised classification of certain factoring and reverse factoring arrangements previously classified as part of </w:t>
      </w:r>
      <w:r>
        <w:rPr>
          <w:rFonts w:ascii="Arial" w:cs="Arial" w:eastAsia="Arial" w:hAnsi="Arial"/>
          <w:sz w:val="14"/>
          <w:szCs w:val="14"/>
          <w:i w:val="1"/>
          <w:iCs w:val="1"/>
          <w:color w:val="auto"/>
        </w:rPr>
        <w:t>Trade and other payables (current)</w:t>
      </w:r>
      <w:r>
        <w:rPr>
          <w:rFonts w:ascii="Arial" w:cs="Arial" w:eastAsia="Arial" w:hAnsi="Arial"/>
          <w:sz w:val="14"/>
          <w:szCs w:val="14"/>
          <w:color w:val="auto"/>
        </w:rPr>
        <w:t xml:space="preserve"> into </w:t>
      </w:r>
      <w:r>
        <w:rPr>
          <w:rFonts w:ascii="Arial" w:cs="Arial" w:eastAsia="Arial" w:hAnsi="Arial"/>
          <w:sz w:val="14"/>
          <w:szCs w:val="14"/>
          <w:i w:val="1"/>
          <w:iCs w:val="1"/>
          <w:color w:val="auto"/>
        </w:rPr>
        <w:t>Borrowings (current)</w:t>
      </w:r>
      <w:r>
        <w:rPr>
          <w:rFonts w:ascii="Arial" w:cs="Arial" w:eastAsia="Arial" w:hAnsi="Arial"/>
          <w:sz w:val="14"/>
          <w:szCs w:val="14"/>
          <w:color w:val="auto"/>
        </w:rPr>
        <w:t xml:space="preserve"> on “trade and other payables” and “payments on borrowings” in the statement of cash flows. Additionally, certain reclassifications have been made to the years ended December 31, 2020 and 2019 statement of cash flows to conform to the current year’s presentation, which include the separate disclosure for payment of lease liabilities, reclassification of interest paid on lease liabilities to operating activities and presentation of cash flow to/from related parties regarding loans to such entities in investing activities, which had no impact on previously reported loss for the years and accumulated losses. For further information, see under the heading “Certain Conventions ––Restatement of Previously Issued Financial Statements” in this annual report and Note 2.4 “Restatement of Previously Issued Financial Statements” to the Annual Audited Consolidated Financial Statements included elsewhere in this annual report.</w:t>
      </w:r>
    </w:p>
    <w:p>
      <w:pPr>
        <w:spacing w:after="0" w:line="152"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ind w:left="540"/>
              <w:spacing w:after="0"/>
              <w:rPr>
                <w:sz w:val="20"/>
                <w:szCs w:val="20"/>
                <w:color w:val="auto"/>
              </w:rPr>
            </w:pPr>
            <w:r>
              <w:rPr>
                <w:rFonts w:ascii="Arial" w:cs="Arial" w:eastAsia="Arial" w:hAnsi="Arial"/>
                <w:sz w:val="16"/>
                <w:szCs w:val="16"/>
                <w:b w:val="1"/>
                <w:bCs w:val="1"/>
                <w:color w:val="auto"/>
                <w:w w:val="89"/>
              </w:rPr>
              <w:t>For the Year ended 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7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Other Financial Data</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18"/>
                <w:szCs w:val="18"/>
                <w:color w:val="auto"/>
              </w:rPr>
            </w:pPr>
          </w:p>
        </w:tc>
      </w:tr>
      <w:tr>
        <w:trPr>
          <w:trHeight w:val="227"/>
        </w:trPr>
        <w:tc>
          <w:tcPr>
            <w:tcW w:w="720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Contribution Margin</w:t>
            </w:r>
            <w:r>
              <w:rPr>
                <w:rFonts w:ascii="Arial" w:cs="Arial" w:eastAsia="Arial" w:hAnsi="Arial"/>
                <w:sz w:val="26"/>
                <w:szCs w:val="26"/>
                <w:color w:val="auto"/>
                <w:vertAlign w:val="superscript"/>
              </w:rPr>
              <w:t>(1)(2)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152,656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121,685</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97,688</w:t>
            </w:r>
          </w:p>
        </w:tc>
      </w:tr>
      <w:tr>
        <w:trPr>
          <w:trHeight w:val="227"/>
        </w:trPr>
        <w:tc>
          <w:tcPr>
            <w:tcW w:w="7200" w:type="dxa"/>
            <w:vAlign w:val="bottom"/>
          </w:tcPr>
          <w:p>
            <w:pPr>
              <w:spacing w:after="0" w:line="227" w:lineRule="exact"/>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99,678</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84,619</w:t>
            </w:r>
          </w:p>
        </w:tc>
        <w:tc>
          <w:tcPr>
            <w:tcW w:w="3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59,136</w:t>
            </w:r>
          </w:p>
        </w:tc>
      </w:tr>
      <w:tr>
        <w:trPr>
          <w:trHeight w:val="227"/>
        </w:trPr>
        <w:tc>
          <w:tcPr>
            <w:tcW w:w="720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Revenue on a constant currency basis</w:t>
            </w:r>
            <w:r>
              <w:rPr>
                <w:rFonts w:ascii="Arial" w:cs="Arial" w:eastAsia="Arial" w:hAnsi="Arial"/>
                <w:sz w:val="26"/>
                <w:szCs w:val="26"/>
                <w:color w:val="auto"/>
                <w:vertAlign w:val="superscript"/>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416,383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363,537</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r>
      <w:tr>
        <w:trPr>
          <w:trHeight w:val="227"/>
        </w:trPr>
        <w:tc>
          <w:tcPr>
            <w:tcW w:w="7200" w:type="dxa"/>
            <w:vAlign w:val="bottom"/>
          </w:tcPr>
          <w:p>
            <w:pPr>
              <w:spacing w:after="0" w:line="227" w:lineRule="exact"/>
              <w:rPr>
                <w:sz w:val="20"/>
                <w:szCs w:val="20"/>
                <w:color w:val="auto"/>
              </w:rPr>
            </w:pPr>
            <w:r>
              <w:rPr>
                <w:rFonts w:ascii="Arial" w:cs="Arial" w:eastAsia="Arial" w:hAnsi="Arial"/>
                <w:sz w:val="16"/>
                <w:szCs w:val="16"/>
                <w:color w:val="auto"/>
              </w:rPr>
              <w:t>Contribution Margin on a constant currency basis</w:t>
            </w:r>
            <w:r>
              <w:rPr>
                <w:rFonts w:ascii="Arial" w:cs="Arial" w:eastAsia="Arial" w:hAnsi="Arial"/>
                <w:sz w:val="26"/>
                <w:szCs w:val="26"/>
                <w:color w:val="auto"/>
                <w:vertAlign w:val="superscript"/>
              </w:rPr>
              <w:t>(1)(2)(4)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154,256</w:t>
            </w:r>
          </w:p>
        </w:tc>
        <w:tc>
          <w:tcPr>
            <w:tcW w:w="1120" w:type="dxa"/>
            <w:vAlign w:val="bottom"/>
          </w:tcPr>
          <w:p>
            <w:pPr>
              <w:jc w:val="right"/>
              <w:spacing w:after="0"/>
              <w:rPr>
                <w:sz w:val="20"/>
                <w:szCs w:val="20"/>
                <w:color w:val="auto"/>
              </w:rPr>
            </w:pPr>
            <w:r>
              <w:rPr>
                <w:rFonts w:ascii="Arial" w:cs="Arial" w:eastAsia="Arial" w:hAnsi="Arial"/>
                <w:sz w:val="16"/>
                <w:szCs w:val="16"/>
                <w:color w:val="auto"/>
              </w:rPr>
              <w:t>134,585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r>
      <w:tr>
        <w:trPr>
          <w:trHeight w:val="227"/>
        </w:trPr>
        <w:tc>
          <w:tcPr>
            <w:tcW w:w="720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Adjusted EBITDA on a constant currency basis</w:t>
            </w:r>
            <w:r>
              <w:rPr>
                <w:rFonts w:ascii="Arial" w:cs="Arial" w:eastAsia="Arial" w:hAnsi="Arial"/>
                <w:sz w:val="26"/>
                <w:szCs w:val="26"/>
                <w:color w:val="auto"/>
                <w:vertAlign w:val="superscript"/>
              </w:rPr>
              <w:t>(1)(3)(4)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100,384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93,455</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9070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95" w:lineRule="exact"/>
        <w:rPr>
          <w:sz w:val="20"/>
          <w:szCs w:val="20"/>
          <w:color w:val="auto"/>
        </w:rPr>
      </w:pPr>
    </w:p>
    <w:p>
      <w:pPr>
        <w:jc w:val="both"/>
        <w:ind w:left="284" w:right="20" w:hanging="284"/>
        <w:spacing w:after="0" w:line="268" w:lineRule="auto"/>
        <w:tabs>
          <w:tab w:leader="none" w:pos="284" w:val="left"/>
        </w:tabs>
        <w:numPr>
          <w:ilvl w:val="0"/>
          <w:numId w:val="7"/>
        </w:numPr>
        <w:rPr>
          <w:rFonts w:ascii="Arial" w:cs="Arial" w:eastAsia="Arial" w:hAnsi="Arial"/>
          <w:sz w:val="15"/>
          <w:szCs w:val="15"/>
          <w:color w:val="auto"/>
        </w:rPr>
      </w:pPr>
      <w:r>
        <w:rPr>
          <w:rFonts w:ascii="Arial" w:cs="Arial" w:eastAsia="Arial" w:hAnsi="Arial"/>
          <w:sz w:val="15"/>
          <w:szCs w:val="15"/>
          <w:color w:val="auto"/>
        </w:rPr>
        <w:t>Contribution Margin and Adjusted EBITDA are non-IFRS measures. We include these metrics as supplemental disclosures because we believe they are useful indicators of our operating performance. Contribution Margin and Adjusted EBITDA are well recognized performance measures in the pharmaceutical industry that are frequently used by investors, securities analysts and other interested parties in comparing the operating performance of companies in our industry. However, because Contribution Margin and Adjusted EBITDA are non-IFRS measures and their calculation is not determined in accordance with IFRS, such measures are susceptible to varying calculations and not all companies calculate the measures in the same manner. As a result, our calculation of Contribution Margin and Adjusted EBITDA as presented may not be directly comparable to similarly titled measures by other companies.</w:t>
      </w:r>
    </w:p>
    <w:p>
      <w:pPr>
        <w:spacing w:after="0" w:line="4" w:lineRule="exact"/>
        <w:rPr>
          <w:rFonts w:ascii="Arial" w:cs="Arial" w:eastAsia="Arial" w:hAnsi="Arial"/>
          <w:sz w:val="15"/>
          <w:szCs w:val="15"/>
          <w:color w:val="auto"/>
        </w:rPr>
      </w:pPr>
    </w:p>
    <w:p>
      <w:pPr>
        <w:ind w:left="284" w:right="20" w:hanging="284"/>
        <w:spacing w:after="0" w:line="249" w:lineRule="auto"/>
        <w:tabs>
          <w:tab w:leader="none" w:pos="284"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define Contribution Margin as gross profit less selling expenses. For a reconciliation of gross profits to Contribution Margin, see Item 5.A under the heading “Operating Results––Non-IFRS Financial Measures–– Contribution Margin” in this annual report.</w:t>
      </w:r>
    </w:p>
    <w:p>
      <w:pPr>
        <w:jc w:val="both"/>
        <w:ind w:left="284" w:right="20" w:hanging="284"/>
        <w:spacing w:after="0" w:line="266" w:lineRule="auto"/>
        <w:tabs>
          <w:tab w:leader="none" w:pos="284"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define Adjusted EBITDA as EBITDA (which is defined as profit (loss) for the year before interest expense, net, income tax expense and depreciation and amortization) as further adjusted to exclude certain isolated costs incurred as a result of the COVID-19 pandemic, certain transaction costs incurred in connection with the Business Combination, certain listing expenses incurred in connection with the Business Combination, certain costs related to business transformation initiatives, certain foreign currency translation adjustments, and certain other finance costs and other nonrecurring, nonoperational or unordinary items as the Company may deem appropriate from time to time. For a reconciliation of profit (loss) for the year to Adjusted EBITDA, see Item 5.A under the heading “Operating Results––Non-IFRS Financial Measures–– EBITDA, Adjusted EBITDA, and Adjusted EBITDA Margin” in this annual report.</w:t>
      </w:r>
    </w:p>
    <w:p>
      <w:pPr>
        <w:jc w:val="both"/>
        <w:ind w:left="284" w:hanging="284"/>
        <w:spacing w:after="0" w:line="270" w:lineRule="auto"/>
        <w:tabs>
          <w:tab w:leader="none" w:pos="284" w:val="left"/>
        </w:tabs>
        <w:numPr>
          <w:ilvl w:val="0"/>
          <w:numId w:val="7"/>
        </w:numPr>
        <w:rPr>
          <w:rFonts w:ascii="Arial" w:cs="Arial" w:eastAsia="Arial" w:hAnsi="Arial"/>
          <w:sz w:val="15"/>
          <w:szCs w:val="15"/>
          <w:color w:val="auto"/>
        </w:rPr>
      </w:pPr>
      <w:r>
        <w:rPr>
          <w:rFonts w:ascii="Arial" w:cs="Arial" w:eastAsia="Arial" w:hAnsi="Arial"/>
          <w:sz w:val="15"/>
          <w:szCs w:val="15"/>
          <w:color w:val="auto"/>
        </w:rPr>
        <w:t>As exchange rates are an important factor in understanding period-to-period comparisons, we believe the presentation of results on a constant currency basis helps improve investors’ ability to understand our operating results and evaluate our performance in comparison to prior periods. Constant currency information is non-IFRS financial information that compares results between periods as if exchange rates had remained constant period-over-period. We calculate constant currency by calculating current year-end results using the prior years foreign currency exchange rates. These results should be considered in addition to, not as a substitute for, results reported in accordance with IFRS. Results on a constant currency basis, as we present them, may not be comparable to similarly titled measures used by other companies and are not measures of performance presented in accordance with IFRS. For additional information on constant currency results and metrics, see Item 5.A under the heading “Operating Results––Non-IFRS Financial Measures––Use of Constant Currency” in this annual report.</w:t>
      </w:r>
    </w:p>
    <w:p>
      <w:pPr>
        <w:spacing w:after="0" w:line="35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B. CAPITALIZATION AND INDEBTEDNESS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REASONS FOR THE OFFER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RISK FACTORS</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i w:val="1"/>
          <w:iCs w:val="1"/>
          <w:color w:val="auto"/>
        </w:rPr>
        <w:t>You should carefully consider the risks and uncertainties described below, together with the other information contained in this annual report, before making any investment decision. Any of the following risks and uncertainties could have a material adverse effect on our business, prospects, results of operations and financial condition. The market price of our Ordinary Shares and Warrants could decline due to any of these risks and uncertainties, and you could lose all or part of your investment. The risks described below are those that we currently believe may materially affect us.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Risks Related to Product Development and Manufacturing</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The development of new pharmaceutical products is a complex, risky and lengthy process involving significant financial, research and development and other resources, which may be delayed due to various factors. Such delays can result in increased costs or the emergence of competing products, which may have a material adverse effect on our business, financial condition and results of operations.</w:t>
      </w:r>
    </w:p>
    <w:p>
      <w:pPr>
        <w:spacing w:after="0" w:line="16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We develop advanced pharmaceutical oral delivery systems technologies primarily in the form of soft gelatin capsules (“Softgel”) that are used in the manufacturing of prescription pharmaceutical drugs (“Rx”) and over the counter (“OTC”) pharmaceutical products, as well as high-complexity drugs for hospital use, personal protective equipment, immunosuppressant, oncology and analgesics products and syringes, among other products. The development of new pharmaceutical products, including our advanced oral delivery systems, is a complex, inherently risky and lengthy process involving significant financial, R&amp;D and other resources, and may not result in a commercially viable product. We must successfully develop, test, manufacture and launch our products as well as successfully register our products in each relevant jurisdiction, in advance of our competitors. A project may be delayed at any stage of the process due to various factors, including failure to obtain the required regulatory approvals for the product being developed or for its manufacturing facilities in a timely manner. Our products currently under development, if and when fully developed and tested, may not perform as we expect, or competitors may already occupy the market opportunity.</w:t>
      </w:r>
    </w:p>
    <w:p>
      <w:pPr>
        <w:spacing w:after="0" w:line="157"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Decisions on the launch of a new oral delivery system and the timing of such launches are primarily driven by our R&amp;D development team. Once the development of the product is completed and the results and appropriate documentation is submitted to the applicable health authority, investments made in the manufacture of pre-launch product, marketing materials and sales force training, may result in additional expenses if the product is not approved in a timely manner. Additionally, other factors such as price negotiation, large-scale natural disasters or global pandemics, and competitor activity may significantly delay the launch of a new product.</w:t>
      </w:r>
    </w:p>
    <w:p>
      <w:pPr>
        <w:spacing w:after="0" w:line="13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All of our products must meet and continue to comply with regulatory and safety standards and receive regulatory approvals in each of the markets in which they are to be commercialized. If health or safety concerns arise with respect to a product, we may be forced to withdraw it from the market and could face legal action if any harm came from the use of our products.</w:t>
      </w:r>
    </w:p>
    <w:p>
      <w:pPr>
        <w:spacing w:after="0" w:line="16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Significant delays in the development and anticipated launch dates of new products could hinder our achievement of development targets, adversely affect the reputation of our R&amp;D capabilities, allow our competitors to bring competing products to the market before we do, significantly reduce the return on costs incurred in preparing for the launch of seasonal products that are launched off-season, and result in increased costs if marketing and sales efforts need to be rescheduled, which could materially adversely affect our business, financial condition and results of operations.</w:t>
      </w:r>
    </w:p>
    <w:p>
      <w:pPr>
        <w:spacing w:after="0" w:line="165"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In addition, product development requires the accurate assessment of market trends and market acceptance among consumers and the medical community, particularly physicians and hospitals, in each of our target markets. Although hospitals often use generic products to reduce their costs, procurement departments of hospitals may not purchase our products. Physicians may not prescribe or recommend our products to patients, and pharmacists may not respect the prescription. Despite our track record of success in certain markets, the acceptance of any of our products among the medical community depends upon several factors, including the reputation of the brand, the safety and efficacy of the product, the effectiveness of our sales force, the product’s price, the product’s perceived advantages and disadvantages relative to competing products or treatments, and the prevalence and severity of side effects. Our overall profitability depends on, among other things, our ability to introduce new products in a timely manner, to differentiate our products with innovative formulations, to continue to manufacture products cost- efficiently and to manage the life cycle, including market acceptance, of our product portfolio.</w:t>
      </w:r>
    </w:p>
    <w:p>
      <w:pPr>
        <w:spacing w:after="0" w:line="16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We are subject to strict controls on the commercialization processes for our pharmaceutical products, including their development, manufacture, distribution and marketing, which vary by country and by region. Any delays in regulatory reviews or approvals could delay our ability to market our products, which could have a material adverse effect on our business, financial condition and results of operations.</w:t>
      </w:r>
    </w:p>
    <w:p>
      <w:pPr>
        <w:spacing w:after="0" w:line="162"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We are subject to strict controls and approvals on the commercialization processes for our pharmaceutical products, including their development, manufacturing, distribution and marketing. The criteria for establishing safety, efficacy and quality, which are essential for securing marketing approvals, vary by country and by region. Obtaining approval for our products and manufacturing processes requires us to submit a dossier in respect of each international non-proprietary name (“INN”) and each formulation and dosage variation for such INN in each country in which we wish to market such product. Regulators delay approvals and require additional data before approval is granted, even though the pharmaceutical products may already be approved or launched in other countries.</w:t>
      </w:r>
    </w:p>
    <w:p>
      <w:pPr>
        <w:spacing w:after="0" w:line="15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Factors including advances in science and technology, evolving regulatory science and new laws and policies, can result in delays in the approval of new pharmaceutical products, including new advanced oral delivery systems. While we seek to manage most of these risks, unanticipated and unpredictable policymaking by governments and regulators, limited regulatory authority resources or conflicting priorities can often lead to delays in regulatory approvals. Any such delays in regulatory reviews and approvals could delay the marketing of our products, resulting in increased costs as described above, which may have a material adverse effect on our business, financial condition and results of operations.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7" w:name="page18"/>
    <w:bookmarkEnd w:id="17"/>
    <w:p>
      <w:pPr>
        <w:jc w:val="both"/>
        <w:ind w:left="4" w:right="20"/>
        <w:spacing w:after="0" w:line="280" w:lineRule="auto"/>
        <w:rPr>
          <w:sz w:val="20"/>
          <w:szCs w:val="20"/>
          <w:color w:val="auto"/>
        </w:rPr>
      </w:pPr>
      <w:r>
        <w:rPr>
          <w:rFonts w:ascii="Arial" w:cs="Arial" w:eastAsia="Arial" w:hAnsi="Arial"/>
          <w:sz w:val="15"/>
          <w:szCs w:val="15"/>
          <w:b w:val="1"/>
          <w:bCs w:val="1"/>
          <w:i w:val="1"/>
          <w:iCs w:val="1"/>
          <w:color w:val="auto"/>
        </w:rPr>
        <w:t>Our future results of operations are subject to fluctuations in the costs, availability, and suitability of the components of the products we manufacture, including active pharmaceutical ingredients, excipients, purchased components, and raw materials. In addition, the global supply chain crisis may interfere with the operations of certain of our direct or indirect suppliers or with international trade for these supplies, which could raise our costs or reduce the productivity or slow the timing of our operations, which could have a material adverse effect on our business, financial condition and results of operations.</w:t>
      </w:r>
    </w:p>
    <w:p>
      <w:pPr>
        <w:spacing w:after="0" w:line="151" w:lineRule="exact"/>
        <w:rPr>
          <w:sz w:val="20"/>
          <w:szCs w:val="20"/>
          <w:color w:val="auto"/>
        </w:rPr>
      </w:pPr>
    </w:p>
    <w:p>
      <w:pPr>
        <w:jc w:val="both"/>
        <w:ind w:left="4" w:firstLine="574"/>
        <w:spacing w:after="0" w:line="253" w:lineRule="auto"/>
        <w:rPr>
          <w:sz w:val="20"/>
          <w:szCs w:val="20"/>
          <w:color w:val="auto"/>
        </w:rPr>
      </w:pPr>
      <w:r>
        <w:rPr>
          <w:rFonts w:ascii="Arial" w:cs="Arial" w:eastAsia="Arial" w:hAnsi="Arial"/>
          <w:sz w:val="16"/>
          <w:szCs w:val="16"/>
          <w:color w:val="auto"/>
        </w:rPr>
        <w:t>We depend on various active pharmaceutical ingredients, components, compounds, raw materials, and energy supplied primarily by others for our offerings. This includes, but is not limited to, pharmaceutical and biologic ingredients, gelatin, starch, and iota carrageenan for our Softgel products, packaging films for our Rx and OTC products, and glass vials and syringes for injectable fill-finish for certain of our Rx and Diabetrics (as defined below) products. Also, certain of our customers provide to us their active pharmaceutical or biologic ingredient for formulation or incorporation in the finished product and may supply other raw materials as well. It is possible that any of our or our customers’ supplier relationships could be interrupted due to changing regulatory requirements, import or export restrictions, natural disasters, international supply disruptions, whether caused by pandemics or otherwise, geopolitical issues, operational or quality issues at the suppliers’ facilities, and other events, or could be terminated in the future.</w:t>
      </w:r>
    </w:p>
    <w:p>
      <w:pPr>
        <w:spacing w:after="0" w:line="172"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color w:val="auto"/>
        </w:rPr>
        <w:t>For example, gelatin is a critical component in most of our Softgel products produced by our NextGel segment. Gelatin is available from only a limited number of sources. In addition, much of the gelatin we use is bovine-derived. Past concerns of contamination from bovine spongiform encephalopathy (“BSE”), have narrowed the number of possible sources of particular types of gelatin. If there were a future disruption in the supply of gelatin from any one or more key suppliers, we may not be able to obtain an adequate alternative supply from our other suppliers. If future restrictions were to emerge on the use of bovine-derived gelatin due to concerns of contamination from BSE or otherwise, any such restriction could hinder our ability to timely supply our customers with products and the use of alternative non-bovine-derived gelatin could be subject to lengthy formulation, testing, and regulatory approval.</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5"/>
          <w:szCs w:val="15"/>
          <w:b w:val="1"/>
          <w:bCs w:val="1"/>
          <w:i w:val="1"/>
          <w:iCs w:val="1"/>
          <w:color w:val="auto"/>
        </w:rPr>
        <w:t>A disruption at any of our main manufacturing facilities could materially and adversely affect our business, financial condition and results of operations.</w:t>
      </w:r>
    </w:p>
    <w:p>
      <w:pPr>
        <w:spacing w:after="0" w:line="210"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5"/>
          <w:szCs w:val="15"/>
          <w:color w:val="auto"/>
        </w:rPr>
        <w:t>Our manufacturing operations are concentrated in six locations throughout Colombia, Brazil and El Salvador. Additionally, on December 31, 2021 we acquired an FDA approved 86,000 square feet pharmaceutical production facility located in West Palm Beach, Florida; our first US-based Softgel production facility and R&amp;D center, which is expected to begin operations in May of 2022. A significant disruption at one or more of these facilities, whether it be due to fire, natural disaster, power loss, intentional acts of vandalism, climate change, war, terrorism, insufficient quality, cyber-attacks, or pandemic could materially and adversely affect our business.</w:t>
      </w:r>
    </w:p>
    <w:p>
      <w:pPr>
        <w:spacing w:after="0" w:line="151" w:lineRule="exact"/>
        <w:rPr>
          <w:sz w:val="20"/>
          <w:szCs w:val="20"/>
          <w:color w:val="auto"/>
        </w:rPr>
      </w:pPr>
    </w:p>
    <w:p>
      <w:pPr>
        <w:jc w:val="both"/>
        <w:ind w:left="4" w:right="20" w:firstLine="574"/>
        <w:spacing w:after="0" w:line="258" w:lineRule="auto"/>
        <w:rPr>
          <w:sz w:val="20"/>
          <w:szCs w:val="20"/>
          <w:color w:val="auto"/>
        </w:rPr>
      </w:pPr>
      <w:r>
        <w:rPr>
          <w:rFonts w:ascii="Arial" w:cs="Arial" w:eastAsia="Arial" w:hAnsi="Arial"/>
          <w:sz w:val="16"/>
          <w:szCs w:val="16"/>
          <w:color w:val="auto"/>
        </w:rPr>
        <w:t>Additionally, regulatory authorities routinely inspect all of our manufacturing facilities for compliance with applicable laws, rules, regulations and practices. While our manufacturing sites are compliant, if a regulatory authority were to identify serious adverse findings not corrected upon follow up inspections, we may be required to issue product recalls, shut down manufacturing facilities, and take other remedial actions. If any manufacturing facility were forced to cease or limit production, our business, financial condition and results of operations could be materially adversely affected.</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Risks Related to Our Business and Financial Condition</w:t>
      </w:r>
    </w:p>
    <w:p>
      <w:pPr>
        <w:spacing w:after="0" w:line="202"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results of operations.</w:t>
      </w:r>
    </w:p>
    <w:p>
      <w:pPr>
        <w:spacing w:after="0" w:line="162" w:lineRule="exact"/>
        <w:rPr>
          <w:sz w:val="20"/>
          <w:szCs w:val="20"/>
          <w:color w:val="auto"/>
        </w:rPr>
      </w:pPr>
    </w:p>
    <w:p>
      <w:pPr>
        <w:jc w:val="both"/>
        <w:ind w:left="4" w:firstLine="574"/>
        <w:spacing w:after="0" w:line="291" w:lineRule="auto"/>
        <w:rPr>
          <w:sz w:val="20"/>
          <w:szCs w:val="20"/>
          <w:color w:val="auto"/>
        </w:rPr>
      </w:pPr>
      <w:r>
        <w:rPr>
          <w:rFonts w:ascii="Arial" w:cs="Arial" w:eastAsia="Arial" w:hAnsi="Arial"/>
          <w:sz w:val="14"/>
          <w:szCs w:val="14"/>
          <w:color w:val="auto"/>
        </w:rPr>
        <w:t>In connection with the audit of our Annual Audited Consolidated Financial Statements, we identified material weaknesses in our internal controls related to (i) our manual consolidation process which lacks the appropriate internal controls to prevent or detect material misstatements in a timely manner and to ensure that financial data recorded was complete and accurate, (ii) our information technology controls not being sufficiently designed and implemented to address certain information technology risks,</w:t>
      </w:r>
    </w:p>
    <w:p>
      <w:pPr>
        <w:spacing w:after="0" w:line="1" w:lineRule="exact"/>
        <w:rPr>
          <w:sz w:val="20"/>
          <w:szCs w:val="20"/>
          <w:color w:val="auto"/>
        </w:rPr>
      </w:pPr>
    </w:p>
    <w:p>
      <w:pPr>
        <w:jc w:val="both"/>
        <w:ind w:left="4" w:right="20" w:hanging="4"/>
        <w:spacing w:after="0" w:line="285" w:lineRule="auto"/>
        <w:tabs>
          <w:tab w:leader="none" w:pos="291"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sufficiency of technical accounting resources with an appropriate level of technical experience required for timely and accurate financial reporting in accordance with IFRS, (iv) lack of system controls and effective processes to ensure that all manual journal entries are properly reviewed and approved prior to posting to the general ledger, and</w:t>
      </w:r>
    </w:p>
    <w:p>
      <w:pPr>
        <w:jc w:val="both"/>
        <w:ind w:left="4" w:hanging="4"/>
        <w:spacing w:after="0" w:line="271" w:lineRule="auto"/>
        <w:tabs>
          <w:tab w:leader="none" w:pos="233"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our monitoring activities not being effective to ascertain whether the components of our internal control are present and functioning.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 We believe certain of the material weaknesses identified above contributed to the misclassification of certain of our factoring and reverse factoring arrangements as </w:t>
      </w:r>
      <w:r>
        <w:rPr>
          <w:rFonts w:ascii="Arial" w:cs="Arial" w:eastAsia="Arial" w:hAnsi="Arial"/>
          <w:sz w:val="15"/>
          <w:szCs w:val="15"/>
          <w:i w:val="1"/>
          <w:iCs w:val="1"/>
          <w:color w:val="auto"/>
        </w:rPr>
        <w:t>Trade and other payables (current)</w:t>
      </w:r>
      <w:r>
        <w:rPr>
          <w:rFonts w:ascii="Arial" w:cs="Arial" w:eastAsia="Arial" w:hAnsi="Arial"/>
          <w:sz w:val="15"/>
          <w:szCs w:val="15"/>
          <w:color w:val="auto"/>
        </w:rPr>
        <w:t xml:space="preserve"> instead of </w:t>
      </w:r>
      <w:r>
        <w:rPr>
          <w:rFonts w:ascii="Arial" w:cs="Arial" w:eastAsia="Arial" w:hAnsi="Arial"/>
          <w:sz w:val="15"/>
          <w:szCs w:val="15"/>
          <w:i w:val="1"/>
          <w:iCs w:val="1"/>
          <w:color w:val="auto"/>
        </w:rPr>
        <w:t>Borrowings (current)</w:t>
      </w:r>
      <w:r>
        <w:rPr>
          <w:rFonts w:ascii="Arial" w:cs="Arial" w:eastAsia="Arial" w:hAnsi="Arial"/>
          <w:sz w:val="15"/>
          <w:szCs w:val="15"/>
          <w:color w:val="auto"/>
        </w:rPr>
        <w:t>, as discussed in more detail under the heading “Certain Conventions ––Restatement of Previously Issued Financial Statements” in this annual report and Note 2.4 “Restatement of Previously Issued Financial Statements” to the Annual Audited Consolidated Financial Statements included elsewhere in this annual report.</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18" w:name="page19"/>
    <w:bookmarkEnd w:id="18"/>
    <w:p>
      <w:pPr>
        <w:jc w:val="both"/>
        <w:ind w:firstLine="574"/>
        <w:spacing w:after="0" w:line="290" w:lineRule="auto"/>
        <w:rPr>
          <w:sz w:val="20"/>
          <w:szCs w:val="20"/>
          <w:color w:val="auto"/>
        </w:rPr>
      </w:pPr>
      <w:r>
        <w:rPr>
          <w:rFonts w:ascii="Arial" w:cs="Arial" w:eastAsia="Arial" w:hAnsi="Arial"/>
          <w:sz w:val="14"/>
          <w:szCs w:val="14"/>
          <w:color w:val="auto"/>
        </w:rPr>
        <w:t>Our remediation activities are ongoing, and we will continue to implement our initiatives to effectively implement our internal controls over financial reporting and further document our policies, procedures and internal controls, including, among others, (i) implementing corporate standardization of accounting for period-end consolidation, control of manual journal entries, strengthening of accounting organization, and implementing automated consolidation, (ii) redesigning and executing information technology controls, such as access controls, information technology security and operation, change management and segregation of duties, (iii) recruiting additional personnel in our finance and accounting departments to ensure that we have a sufficient complement of personnel with the appropriate level of knowledge and experience required for the timely and accurate financial reporting in accordance with IFRS, (iv) designing and implementing procedures over the preparation and review of journal entries to establish that manual journal entries are properly prepared, supported by adequate documentation, and independently reviewed and approved, and (v) implementing actions to strengthen the monitoring activities of internal controls. However, if our remedial measures are insufficient to address the material weaknesses, or if additional material weakness or significant deficiencies in our internal control are discovered or occur in the future, our financial statements may contain material misstatements. If our financial statements are not accurate, investors may not have a complete understanding of our operations. Likewise, if our financial statements are not filed on a timely basis in the future, we could be subject to sanctions or investigations by Nasdaq, or any other stock exchange on which the Ordinary Shares are listed, the SEC or other regulatory authorities. Either case could adversely affect investor confidence in us and materially and adversely affect our business and results of operations. For a discussion on our remedial measures, see Item 15.B under the heading “Management’s Annual Assessment of Internal Control Over Financial Reporting –– Remediation Efforts” in this annual report.</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have restated our financial statements for several prior periods, which may affect investor confidence, the price of our securities, our ability to raise capital in the future, our results of operations and financial condition, and which may result in stockholder litigation.</w:t>
      </w:r>
    </w:p>
    <w:p>
      <w:pPr>
        <w:spacing w:after="0" w:line="15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have filed restated financial statements for several prior periods. Such restatements may have the effect of eroding investor confidence in the Company and our financial reporting and accounting practices and processes, and may negatively impact the trading price of our securities, could have a material adverse effect on our business, financial condition and results of operations, and may make it more difficult for us to raise capital on acceptable terms, if at all. The restatement and related material weaknesses in our internal control over financial reporting may also result in stockholder litigation.</w:t>
      </w:r>
    </w:p>
    <w:p>
      <w:pPr>
        <w:spacing w:after="0" w:line="16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If we do not enhance our existing products and services, or introduce new technology or service offerings in a timely manner, our products and services may become uncompetitive over time, or customers may not buy our products or buy less of them, which could have a material adverse effect on our business, financial condition and results of operations.</w:t>
      </w:r>
    </w:p>
    <w:p>
      <w:pPr>
        <w:spacing w:after="0" w:line="162" w:lineRule="exact"/>
        <w:rPr>
          <w:sz w:val="20"/>
          <w:szCs w:val="20"/>
          <w:color w:val="auto"/>
        </w:rPr>
      </w:pPr>
    </w:p>
    <w:p>
      <w:pPr>
        <w:jc w:val="both"/>
        <w:ind w:right="20" w:firstLine="574"/>
        <w:spacing w:after="0" w:line="292" w:lineRule="auto"/>
        <w:rPr>
          <w:sz w:val="20"/>
          <w:szCs w:val="20"/>
          <w:color w:val="auto"/>
        </w:rPr>
      </w:pPr>
      <w:r>
        <w:rPr>
          <w:rFonts w:ascii="Arial" w:cs="Arial" w:eastAsia="Arial" w:hAnsi="Arial"/>
          <w:sz w:val="14"/>
          <w:szCs w:val="14"/>
          <w:color w:val="auto"/>
        </w:rPr>
        <w:t>The healthcare industry is characterized by rapid technological change. Demand for our Rx and OTC pharmaceutical products, Diabetrics products and services, and our integral contract development and manufacturing organization (“iCDMO”) services may change in ways we may not anticipate because of evolving industry standards as well as a result of evolving customer needs that are increasingly sophisticated and varied and the introduction by others of new offerings and technologies that provide alternatives to our products and services. Approximately 60% of our sales for the year ended December 31, 2021 are linked to products and services based on our proprietary technologies. To the extent that such technologies are protected by patents, their related offerings may become subject to competition as the patents expire. Without the timely introduction of enhanced or new products and services, and technologies, our offerings may become uncompetitive over time, in which case our revenue and operating results would suffer. For example, if we are unable to respond to changes in the nature or extent of the technological or other needs of our pharmaceutical customers through enhancing our pharmaceutical products and services offerings, our competition may develop offerings that are more competitive than ours and we could find it more difficult to renew or expand existing agreements or obtain new agreements. Potential innovations intended to facilitate enhanced or new offerings generally will require a substantial investment before we can determine their commercial viability, and we may not have financial resources sufficient to fund all desired innovations.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success of enhanced or new pharmaceutical products and services will depend on several factors, including our ability to:</w:t>
      </w:r>
    </w:p>
    <w:p>
      <w:pPr>
        <w:spacing w:after="0" w:line="198" w:lineRule="exact"/>
        <w:rPr>
          <w:sz w:val="20"/>
          <w:szCs w:val="20"/>
          <w:color w:val="auto"/>
        </w:rPr>
      </w:pPr>
    </w:p>
    <w:p>
      <w:pPr>
        <w:ind w:left="860" w:hanging="291"/>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properly anticipate and satisfy customer needs, including increasing demand for lower cost products;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enhance, innovate, develop, and manufacture new offerings in an economical and timely manner;</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differentiate our products and services from competitors’ offerings;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achieve positive clinical outcomes for our and our customers’ new products;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meet safety requirements and other regulatory requirements of governmental agencies;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obtain valid and enforceable intellectual property rights; and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avoid infringing the proprietary rights of third parties.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9" w:name="page20"/>
    <w:bookmarkEnd w:id="19"/>
    <w:p>
      <w:pPr>
        <w:jc w:val="both"/>
        <w:ind w:firstLine="574"/>
        <w:spacing w:after="0" w:line="306" w:lineRule="auto"/>
        <w:rPr>
          <w:sz w:val="20"/>
          <w:szCs w:val="20"/>
          <w:color w:val="auto"/>
        </w:rPr>
      </w:pPr>
      <w:r>
        <w:rPr>
          <w:rFonts w:ascii="Arial" w:cs="Arial" w:eastAsia="Arial" w:hAnsi="Arial"/>
          <w:sz w:val="14"/>
          <w:szCs w:val="14"/>
          <w:color w:val="auto"/>
        </w:rPr>
        <w:t>Even if we succeed in creating enhanced or new pharmaceutical products and services from these innovations, they may still fail to result in commercially successful offerings or may not produce revenue in excess of the costs of development, and they may become uncompetitive due to changing customer preferences or the introduction by our competitors of offerings embodying new technologies or features. Finally, innovations may not be accepted quickly in the marketplace because of, among other things, entrenched patterns of clinical practice, the need for regulatory clearance, and uncertainty over market access or government or third-party reimbursement.</w:t>
      </w:r>
    </w:p>
    <w:p>
      <w:pPr>
        <w:spacing w:after="0" w:line="13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b w:val="1"/>
          <w:bCs w:val="1"/>
          <w:i w:val="1"/>
          <w:iCs w:val="1"/>
          <w:color w:val="auto"/>
        </w:rPr>
        <w:t>The demand for OTC products may be impacted by changes in consumer preferences. If we are unable to adapt to these changes, we may lose market share and our net sales may be negatively impacted, which could have a material adverse effect on our business, financial condition and results of operations.</w:t>
      </w:r>
    </w:p>
    <w:p>
      <w:pPr>
        <w:spacing w:after="0" w:line="129"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Consumer preferences related to health concerns may change, which could negatively impact demand for our OTC products or cause us to incur additional costs to change our OTC products or product packaging. The success of certain our OTC products such as gastrointestinal, skin care and vitamins, minerals and supplements, is dependent on the continued growth in demand for overall health related products. If demand for products in this category decreases, our financial condition and results of operations would be negatively impacted.</w:t>
      </w:r>
    </w:p>
    <w:p>
      <w:pPr>
        <w:spacing w:after="0" w:line="165"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Furthermore, our OTC consumer products customers may request changes in packaging to meet consumer demands, which could cause us to incur inventory obsolescence charges and redesign costs, which in turn could negatively impact our results of operations.</w:t>
      </w:r>
    </w:p>
    <w:p>
      <w:pPr>
        <w:spacing w:after="0" w:line="15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b w:val="1"/>
          <w:bCs w:val="1"/>
          <w:i w:val="1"/>
          <w:iCs w:val="1"/>
          <w:color w:val="auto"/>
        </w:rPr>
        <w:t>Our business depends upon certain customers for a significant portion of our sales, therefore, a disruption of our relationship with these customers or any material adverse change in these customers’ businesses could have a material adverse effect on our business, financial condition and results of operations.</w:t>
      </w:r>
    </w:p>
    <w:p>
      <w:pPr>
        <w:spacing w:after="0" w:line="129"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Sales to the five largest economic groups that form part of our customer base comprised approximately 26% of our net sales for the year ended December 31, 2021. While no other customer individually comprised more than 6.5% of net sales for the year ended December 31, 2021. If our relationship with one of the five largest economic groups that form part of our customer base, including the terms of doing business with such customers, changes significantly, it could have a material adverse impact on our business, financial condition and results of operations.</w:t>
      </w:r>
    </w:p>
    <w:p>
      <w:pPr>
        <w:spacing w:after="0" w:line="16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Many of our customers, which include major global, national, and regional retail drug, supermarket, and mass merchandise chains, major wholesalers, sourcing groups, hospitals and grocery stores located primarily in Latin America and the United States, continue to merge or consolidate. Such consolidation has provided, and may continue to provide, customers with additional purchasing leverage, and consequently may increase the pricing pressures we face. The emergence of large buying groups representing independent retail pharmacies enable those groups to extract price discounts on our products.</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Additionally, if we are unable to maintain adequately high levels of customer service over time, customers may choose to obtain alternate sources for products and/or end their relationships with us.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depend on key personnel to operate and grow our business and to develop new and enhanced offerings and technologies and the loss of, or the failure to attract and retain, such key personnel could adversely affect our operations.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depend on key personnel to operate and grow our business and to develop new and enhanced products, services and technologies and the loss of, or the failure to attract and retain, such key personnel could adversely affect our operations.</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We depend on our executive officers and other key personnel, including our technical personnel, to operate and grow our business and to develop new and enhanced products, services and technologies. The loss of any of these officers or other key personnel or a failure to attract and retain suitably skilled technical personnel could adversely affect our operations.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20" w:name="page21"/>
    <w:bookmarkEnd w:id="20"/>
    <w:p>
      <w:pPr>
        <w:jc w:val="both"/>
        <w:ind w:firstLine="574"/>
        <w:spacing w:after="0" w:line="258" w:lineRule="auto"/>
        <w:rPr>
          <w:sz w:val="20"/>
          <w:szCs w:val="20"/>
          <w:color w:val="auto"/>
        </w:rPr>
      </w:pPr>
      <w:r>
        <w:rPr>
          <w:rFonts w:ascii="Arial" w:cs="Arial" w:eastAsia="Arial" w:hAnsi="Arial"/>
          <w:sz w:val="16"/>
          <w:szCs w:val="16"/>
          <w:color w:val="auto"/>
        </w:rPr>
        <w:t>In addition to our executive officers, we rely on seven senior vice presidents and senior management personnel to lead and direct our business. The members of the senior leadership team hold positions in areas such as corporate finance, audit and internal controls, human resources, corporate and legal affairs, international marketing and R&amp;D, investor relations and mergers and acquisitions. Furthermore, each of our business segments (NextGel, Procaps Colombia, CAN (as defined below), CASAND (as defined below) and Diabetrics) is managed by a Vice-President that reports directly to the President.</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With respect to our technical talent, we employ more than 305 scientists, technicians and skilled personnel in R&amp;D and innovation. Many of our facilities are located in competitive labor markets like those in which our Colombia, Brazil, El Salvador and United States - Florida facilities are located. Global and regional competitors and, in some cases, customers and suppliers compete for the same skills and talent as we do.</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our specialized sales representatives to generate the net sales and the levels of product and brand name awareness we desire.</w:t>
      </w:r>
    </w:p>
    <w:p>
      <w:pPr>
        <w:spacing w:after="0" w:line="198"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We rely on our network of specialized sales representatives to create greater awareness of our products and brand names. As a result, our operations involve certain risks, including that our sales representatives may fail to comply with local requirements, to devote the resources necessary to achieve physician confidence or loyalty, to otherwise effectively market our products, and/or to provide us with accurate or timely information about product sales. In addition, we invest in the formation and specialization of each sales representative and have no assurance of their continued employment with us. During the year ended December 31, 2021, this sales force made approximately 734,000 visits to private practitioners. Our future growth and profitability will depend in part on the effectiveness and efficiency of our sales force.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financial condition, and results of operations may be adversely affected by global health epidemics, including the COVID-19 pandemic.</w:t>
      </w:r>
    </w:p>
    <w:p>
      <w:pPr>
        <w:spacing w:after="0" w:line="21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business, financial condition, and results of operations have been and may continue to be adversely affected by global health epidemics, including the COVID-19 pandemic.</w:t>
      </w:r>
    </w:p>
    <w:p>
      <w:pPr>
        <w:spacing w:after="0" w:line="15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In January 2020, the World Health Organization declared the COVID-19 pandemic to be a “Public Health Emergency of International Concern.” COVID-19 has spread across the globe and is affecting worldwide economic activity. Any public health epidemic, including the COVID-19 pandemic, may affect our operations and those of third parties on which we rely, including our customers and suppliers. Our business, financial condition, and results of operations may be affected by: disruptions in our customers’ abilities to fund, develop, or bring to market products as anticipated; delays in or disruptions to the conduct of clinical trials; cancellations of contracts or confirmed orders from our customers; decreased demand for categories of products in certain affected regions; and inability, difficulty, or additional cost or delays in obtaining key raw materials, components, and other supplies from our existing supply chain; among other factors caused by the COVID-19 pandemic.</w:t>
      </w:r>
    </w:p>
    <w:p>
      <w:pPr>
        <w:spacing w:after="0" w:line="157"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In addition, the COVID-19 pandemic may affect the operations of INVIMA, the FDA, and other drug regulatory authorities, which could result in delays of inspections, reviews, and approvals of our customers’ products. Our operations could be disrupted if our employees become ill or are otherwise absent from work as a result of the COVID-19 pandemic. Governmental restrictions, including travel restrictions, quarantines, shelter-in-place orders, business closures, new safety requirements or regulations, or restrictions on the import or export of certain materials, or other operational issues related to the COVID-19 pandemic have had, and may continue to have, an adverse effect on our business, financial condition and results of operations. Additionally, while the potential economic impact brought by and the duration of the COVID-19 pandemic are difficult to assess or predict, the impact of the COVID-19 pandemic on the global financial markets may reduce our ability to access capital, which could negatively affect our short- and long-term liquidity.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21" w:name="page22"/>
    <w:bookmarkEnd w:id="21"/>
    <w:p>
      <w:pPr>
        <w:jc w:val="both"/>
        <w:ind w:firstLine="574"/>
        <w:spacing w:after="0" w:line="292" w:lineRule="auto"/>
        <w:rPr>
          <w:sz w:val="20"/>
          <w:szCs w:val="20"/>
          <w:color w:val="auto"/>
        </w:rPr>
      </w:pPr>
      <w:r>
        <w:rPr>
          <w:rFonts w:ascii="Arial" w:cs="Arial" w:eastAsia="Arial" w:hAnsi="Arial"/>
          <w:sz w:val="14"/>
          <w:szCs w:val="14"/>
          <w:color w:val="auto"/>
        </w:rPr>
        <w:t>The COVID-19 pandemic has had a negative impact on our business. It has caused complications in logistics and personnel transport during mandatory quarantine periods. Also, we had to hire additional personnel to substitute unavailable staff due to quarantine for potential exposure to COVID-19. We also incurred additional expenses by purchasing COVID-19 vaccines from the Colombian government for our employees, implementing a bus fleet to transport our employees to and from the plants, implementing COVID-19 testing, contracting third parties to substitute unavailable personnel and purchasing personal protective equipment. Price changes in raw materials also impacted our business, however, we were able to mitigate the impact of these effects by launching new products, training our sales forces to capitalize on opportunities, implementing fewer discount promotions, generating demand in markets such as Colombia and Central America, and by growing our generic drug business. However, the extent to which COVID-19 may affect our future results will depend on future developments that are highly uncertain, including the duration of the pandemic, new information that may emerge concerning the severity of the virus, and the actions governments, the pharmaceutical industry, competitors, suppliers, customers, patients, and others may take to contain or address its direct and indirect effects. The COVID-19 pandemic and associated mitigation measures may also have an adverse impact on healthcare systems, global economic conditions, or economic conditions in one or more regions where we or our customers operate, which could have an adverse effect on our business and financial condition.</w:t>
      </w:r>
    </w:p>
    <w:p>
      <w:pPr>
        <w:spacing w:after="0" w:line="144"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In addition, the impact of the COVID-19 pandemic could exacerbate other risks we face, including those described elsewhere in “Risk Factors.” For more information on the impact of the COVID-19 pandemic on us, see Item 5.A under the heading “Operating Results––Impact of COVID-19” and Item 4.B under the heading “Recent Developments.”</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Any breach, disruption or misuse of our, or our external business partners’, information systems or cyber security efforts could have a material adverse effect on our business, financial condition and results of operations.</w:t>
      </w:r>
    </w:p>
    <w:p>
      <w:pPr>
        <w:spacing w:after="0" w:line="15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We are increasingly dependent upon information technology systems to operate our business. Our systems, information and operations are highly complex and interrelated with our external business partners. These systems may contain confidential information (including personal data, trade secrets or other intellectual property, or proprietary business information). The nature of digital systems, both internally and externally, makes them potentially vulnerable to disruption or damage from human error and/or security breaches, which include, but are not limited to, ransomware, data theft, denial of service attacks, sabotage, industrial espionage, and computer viruses. Such events may be difficult to detect, and once detected, their impact may be difficult to assess and address.</w:t>
      </w:r>
    </w:p>
    <w:p>
      <w:pPr>
        <w:spacing w:after="0" w:line="155"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We and our external business partners have been subject to cyber-attacks in the past, and we have experienced immaterial business disruption and data loss as a result of phishing, business email compromise and other types of attacks on our information technology systems and those of our external business partners. While we continue to employ resources to monitor our systems and protect our infrastructure, these measures may prove insufficient depending upon the attack or threat posed, and that could subject us to significant risks, including ransomware attacks, other cyber breaches and disruptions that (i) cause system issues, (ii) cause the loss, misappropriation or unauthorized access, use or disclosure of confidential information, (iii) impair our operations, (iv) cause us to lose customers or experience lower sales volume, or (v) causes us to incur significant liabilities or expenses to remediate such risks, which, individually or collectively, could result in financial, legal, business or reputational harm to us and could have a material adverse effect on our business, financial condition and results of operations.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22" w:name="page23"/>
    <w:bookmarkEnd w:id="22"/>
    <w:p>
      <w:pPr>
        <w:jc w:val="both"/>
        <w:ind w:right="20" w:firstLine="574"/>
        <w:spacing w:after="0" w:line="258" w:lineRule="auto"/>
        <w:rPr>
          <w:sz w:val="20"/>
          <w:szCs w:val="20"/>
          <w:color w:val="auto"/>
        </w:rPr>
      </w:pPr>
      <w:r>
        <w:rPr>
          <w:rFonts w:ascii="Arial" w:cs="Arial" w:eastAsia="Arial" w:hAnsi="Arial"/>
          <w:sz w:val="16"/>
          <w:szCs w:val="16"/>
          <w:color w:val="auto"/>
        </w:rPr>
        <w:t>In addition, our information technology systems may be vulnerable to damage or interruption from circumstances beyond our control, including fire, natural disasters, power outages, systems failures and viruses. If we are unable to execute our disaster recovery and business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165"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We are also subject to numerous laws and regulations designed to protect personal data, such as the European national laws implementing the General Data Protection Regulation and Brazil’s General Data Protection Law (</w:t>
      </w:r>
      <w:r>
        <w:rPr>
          <w:rFonts w:ascii="Arial" w:cs="Arial" w:eastAsia="Arial" w:hAnsi="Arial"/>
          <w:sz w:val="15"/>
          <w:szCs w:val="15"/>
          <w:i w:val="1"/>
          <w:iCs w:val="1"/>
          <w:color w:val="auto"/>
        </w:rPr>
        <w:t>Lei Geral de Proteção de Dados</w:t>
      </w:r>
      <w:r>
        <w:rPr>
          <w:rFonts w:ascii="Arial" w:cs="Arial" w:eastAsia="Arial" w:hAnsi="Arial"/>
          <w:sz w:val="15"/>
          <w:szCs w:val="15"/>
          <w:color w:val="auto"/>
        </w:rPr>
        <w:t>). These data protection laws introduced more stringent data protection requirements and significant potential fines, as well as increased our responsibility and potential liability in relation to personal data that we process. We have put mechanisms in place to ensure compliance with applicable data protection laws but there can be no guarantee of their effectiveness.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identify acquisition opportunities and successfully execute and close acquisitions, which could limit our potential for growth.</w:t>
      </w:r>
    </w:p>
    <w:p>
      <w:pPr>
        <w:spacing w:after="0" w:line="198"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We have made several acquisitions in recent years, such as the recently acquired US-based Softgel production facility and R&amp;D center located in West Palm Beach, Florida, and expect to actively seek new acquisitions that management believes will provide meaningful opportunities for growth by increasing our existing capabilities and expanding into new areas and markets of operations. However, we may not be able to identify suitable acquisition candidates or complete acquisitions on acceptable terms and conditions. Other companies in our industry have similar investment and acquisition strategies to ours, and competition for acquisitions may intensify. If we are unable to identify acquisition candidates that meet our criteria, or complete acquisitions on acceptable terms and condition, our potential for growth may be restricted. Additionally, because we may pursue acquisitions around the world and may actively pursue a number of opportunities simultaneously, we may encounter unforeseen expenses, complications and delays in connection with identifying or acquiring suitable acquisition targets.</w:t>
      </w:r>
    </w:p>
    <w:p>
      <w:pPr>
        <w:spacing w:after="0" w:line="156"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b w:val="1"/>
          <w:bCs w:val="1"/>
          <w:i w:val="1"/>
          <w:iCs w:val="1"/>
          <w:color w:val="auto"/>
        </w:rPr>
        <w:t>We may not be able to realize the benefits of business acquisitions and divestitures we enter into, including being unable to successfully and efficiently integrate acquisitions or execute on dispositions, which could have a material adverse effect on our business, financial condition and results of operations, and we may use our Ordinary Shares or other securities as consideration for future business acquisitions which could result in significant dilution to our shareholders.</w:t>
      </w:r>
    </w:p>
    <w:p>
      <w:pPr>
        <w:spacing w:after="0" w:line="127"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We engage from time to time in acquisitions and other transactions that may complement or expand our business or in divestments of non-strategic businesses or assets. These transactions, including our recently acquired US-based Softgel production facility and R&amp;D center, which is expected to begin operations in May of 2022, are accompanied by risks, many of which are beyond our control, and any one of them could result in increased cost, decreased net sales and diversion of management’s time and energy, any or all of which could materially impact our business, financial condition, and results of operations. Such risks include, among others, risks relating to our ability to successfully and efficiently integrate acquisitions or execute on dispositions and realize anticipated benefits therefrom.</w:t>
      </w:r>
    </w:p>
    <w:p>
      <w:pPr>
        <w:spacing w:after="0" w:line="155"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In order to implement our growth strategy, we evaluate opportunities to buy or otherwise acquire rights to other businesses or technologies, enter into joint ventures or otherwise enter into strategic arrangements with business partners that could complement, enhance, or expand our current business or offerings and services or that might otherwise offer us growth opportunities, or divest assets or an ongoing business. We may face competition from other companies in pursuing acquisitions and similar transactions in the pharmaceutical industry. Our ability to complete transactions may also be limited by applicable antitrust and trade laws and regulations in the jurisdictions in which we or the operations or assets we seek to acquire carry on business. To the extent that we are successful in making acquisitions, we expend substantial amounts of cash, incur debt, or assume loss-making divisions as consideration. We or the purchaser of a divested asset or business may not be able to complete a desired transaction for any number of reasons, including a failure to secure financing.</w:t>
      </w:r>
    </w:p>
    <w:p>
      <w:pPr>
        <w:spacing w:after="0" w:line="15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Any acquisition that we are able to identify and complete may involve a number of risks, including, but not limited to (i) the diversion of management’s attention to integrate the acquired businesses or joint ventures, (ii) the possible adverse effects on our operating results during the integration process, (iii) the potential loss of customers or employees in connection with the acquisition, (iv) delays or reduction in realizing expected synergies, (v) unexpected liabilities, (vi) exposure to compliance, intellectual property, environmental, legal or other issues, not uncovered by a limited due diligence review of the target or otherwise, and (vii) our potential inability to achieve our intended objectives for the transaction.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23" w:name="page24"/>
    <w:bookmarkEnd w:id="23"/>
    <w:p>
      <w:pPr>
        <w:jc w:val="both"/>
        <w:ind w:firstLine="574"/>
        <w:spacing w:after="0" w:line="255" w:lineRule="auto"/>
        <w:rPr>
          <w:sz w:val="20"/>
          <w:szCs w:val="20"/>
          <w:color w:val="auto"/>
        </w:rPr>
      </w:pPr>
      <w:r>
        <w:rPr>
          <w:rFonts w:ascii="Arial" w:cs="Arial" w:eastAsia="Arial" w:hAnsi="Arial"/>
          <w:sz w:val="16"/>
          <w:szCs w:val="16"/>
          <w:color w:val="auto"/>
        </w:rPr>
        <w:t>To the extent that we are not successful in completing desired divestitures, as such may be determined by future strategic plans and business performance, we may have to expend substantial amounts of cash, incur debt, or continue to absorb the costs of loss-making or under-performing assets. Any divestiture, whether we are able to complete it or not, may involve a number of risks, including diversion of management’s attention, a negative impact on our customer relationships, costs associated with maintaining the business of the targeted divestiture during the disposition process, and the costs of closing and disposing of the affected business or transferring remaining portions of the operations of the business to other facilities.</w:t>
      </w:r>
    </w:p>
    <w:p>
      <w:pPr>
        <w:spacing w:after="0" w:line="170"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Additionally, we may use our securities as consideration, in part or whole, for the purchase of acquired businesses as part of our business acquisition strategy. Such securities may carry rights or preferences different from or superior to those of our Ordinary Shares. Moreover, if such securities include our Ordinary Shares or securities senior to or pari passu to or convertible or exchangeable into our Ordinary Shares, the relative ownership interest of the holders of Ordinary Shares would be subject to dilution.</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The demand for our iCDMO services depends in part on our customers’ research and development and the clinical and market success of their products. In the event our customers spend less on, or are less successful in, these activities for any reason, including as a result of decrease in spending due to the COVID-19 pandemic or recessionary economic conditions caused in whole or in part by the pandemic, our business, financial condition, and results of operations may be materially adversely affected.</w:t>
      </w:r>
    </w:p>
    <w:p>
      <w:pPr>
        <w:spacing w:after="0" w:line="165"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The demand for our iCDMO offerings depends in part on our customers’ research and development and the clinical and market success of their products. Our business, financial condition, and results of operations may be negatively affected if our customers spend less on, or are less successful in, these activities. In addition, customer spending may be affected by, among other things, the COVID-19 pandemic or recessionary economic conditions caused in whole or in part by the pandemic.</w:t>
      </w:r>
    </w:p>
    <w:p>
      <w:pPr>
        <w:spacing w:after="0" w:line="146"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Our customers are engaged in research, development, production, and marketing of pharmaceutical, biotechnology, and consumer health products. The amount of customer spending on research, development, production, and marketing, as well as the outcomes of such research, development, and marketing activities, have a large impact on our sales and profitability, particularly the amount our customers choose to spend on our iCDMO offerings. Our customers determine the amounts that they will spend based upon, among other things, available resources and their need to develop new products, which, in turn, are dependent upon a number of factors, including their competitors’ research, development, and production initiatives, and the anticipated market uptake, clinical, and reimbursement scenarios for specific products and therapeutic areas. In addition, consolidation in the industries in which our customers operate may have an impact on such spending as customers integrate acquired operations, including research and development departments and their budgets. Our customers finance their research and development spending from private and public sources. A reduction in spending by our customers, for these reasons or because of the COVID-19 pandemic or its direct or indirect effects, could have a material adverse effect on our business, financial condition, and results of operations. If our customers are not successful in attaining or retaining product sales due to market conditions, reimbursement issues, or other factors, our results of operations may be materially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Industry</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increased competition may adversely affect our business, financial condition and results of operations.</w:t>
      </w:r>
    </w:p>
    <w:p>
      <w:pPr>
        <w:spacing w:after="0" w:line="210"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We operate in a market that is highly competitive. We compete with multiple companies as to each of our offerings and in every region of the globe in which we operate, including competing with other companies that offer advanced delivery technologies, outsourced dose form, or development services to pharmaceutical and consumer health companies based in North America, South America, Europe, and the Asia- Pacific region. We also compete in some cases with the internal operations of those pharmaceutical, biotechnology, and consumer health customers that also have manufacturing capabilities and choose to source these services internally.</w:t>
      </w:r>
    </w:p>
    <w:p>
      <w:pPr>
        <w:spacing w:after="0" w:line="151"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color w:val="auto"/>
        </w:rPr>
        <w:t>We face substantial competition in each of our markets. Competition is driven by proprietary technologies and know-how, capabilities, consistency of operational performance, quality, price, value, responsiveness, and speed. Some competitors have greater financial, R&amp;D, operational, and marketing resources than we do. Competition may also increase as additional companies enter our markets or use their existing resources to compete directly with ours. Expanded competition from companies in low-cost jurisdictions, such as India and China, may in the future adversely affect our results of operations or limit our growth. Greater financial, research and development, operational, and marketing resources may allow our competitors to respond more quickly with new, alternative, or emerging technologies. Changes in the nature or extent of our customers’ requirements may render our offerings obsolete or non-competitive and could adversely affect our business, financial condition and results of operations.</w:t>
      </w:r>
    </w:p>
    <w:p>
      <w:pPr>
        <w:spacing w:after="0" w:line="143"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Changes in market access or healthcare reimbursement for, or public sentiment towards our, or our customers’, products in Latin America, the United States and other countries in which we operate, or other changes in applicable policies regarding the healthcare industry, could adversely affect our financial condition and results of operations by affecting demand for our products and services.</w:t>
      </w:r>
    </w:p>
    <w:p>
      <w:pPr>
        <w:spacing w:after="0" w:line="162" w:lineRule="exact"/>
        <w:rPr>
          <w:sz w:val="20"/>
          <w:szCs w:val="20"/>
          <w:color w:val="auto"/>
        </w:rPr>
      </w:pPr>
    </w:p>
    <w:p>
      <w:pPr>
        <w:jc w:val="both"/>
        <w:ind w:right="20" w:firstLine="574"/>
        <w:spacing w:after="0" w:line="270" w:lineRule="auto"/>
        <w:rPr>
          <w:sz w:val="20"/>
          <w:szCs w:val="20"/>
          <w:color w:val="auto"/>
        </w:rPr>
      </w:pPr>
      <w:r>
        <w:rPr>
          <w:rFonts w:ascii="Arial" w:cs="Arial" w:eastAsia="Arial" w:hAnsi="Arial"/>
          <w:sz w:val="15"/>
          <w:szCs w:val="15"/>
          <w:color w:val="auto"/>
        </w:rPr>
        <w:t>The healthcare industry has changed significantly over time, and we expect the industry to continue to evolve. Some of these changes, such as ongoing healthcare reform, adverse changes in governmental or private funding of healthcare products and services, legislation or regulations governing patient access to care and privacy, or the delivery, pricing, or reimbursement approval of pharmaceuticals and healthcare services or mandated benefits, may cause healthcare industry participants to change the amount of our products and services that they purchase or the price they are willing to pay for these offerings. In particular, there is significant uncertainty about the likelihood of changes to the Affordable Care Act (the “ACA”) in the United States and healthcare laws in general in the United States, including future legislation that may affect or put a cap on future pricing of pharmaceutical products. While we are unable to predict the likelihood of changes to healthcare legislation, any substantial revisions in these legislations, including in the ACA, could have a material adverse effect on the demand for our or our customers’ products, which in turn could have a negative impact on our business, financial condition and results of operations. Changes in the healthcare industry’s pricing, selling, inventory, distribution, or supply policies or practices, or in public or government sentiment for the industry as a whole, could also significantly reduce our revenue and results of operations. In particular, volatility in individual product demand may result from changes in public or private payer reimbursement or coverage.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24" w:name="page25"/>
    <w:bookmarkEnd w:id="24"/>
    <w:p>
      <w:pPr>
        <w:jc w:val="both"/>
        <w:ind w:right="20" w:firstLine="574"/>
        <w:spacing w:after="0" w:line="258" w:lineRule="auto"/>
        <w:rPr>
          <w:sz w:val="20"/>
          <w:szCs w:val="20"/>
          <w:color w:val="auto"/>
        </w:rPr>
      </w:pPr>
      <w:r>
        <w:rPr>
          <w:rFonts w:ascii="Arial" w:cs="Arial" w:eastAsia="Arial" w:hAnsi="Arial"/>
          <w:sz w:val="16"/>
          <w:szCs w:val="16"/>
          <w:color w:val="auto"/>
        </w:rPr>
        <w:t>Our Rx products business in particular could be materially adversely impacted by measures taken by governmental entities or private payers to restrict patients’ access to our products or increase pressure on drug pricing, including denial of price increases, prospective and retrospective price decreases, and increased mandatory discounts or rebates. These actions may drive us and our competitors to decrease prices or may reduce the ability of customers to pay for our products, which could materially negatively impact our Rx products business’ results of operations.</w:t>
      </w:r>
    </w:p>
    <w:p>
      <w:pPr>
        <w:spacing w:after="0" w:line="165"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b w:val="1"/>
          <w:bCs w:val="1"/>
          <w:i w:val="1"/>
          <w:iCs w:val="1"/>
          <w:color w:val="auto"/>
        </w:rPr>
        <w:t>The illegal trade in pharmaceutical products, including counterfeiting, theft and illegal diversion, is widely recognized. Public loss of confidence in the integrity of pharmaceutical products as a result of illegal trade could materially adversely affect our reputation, financial condition and results of operation.</w:t>
      </w:r>
    </w:p>
    <w:p>
      <w:pPr>
        <w:spacing w:after="0" w:line="129"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The illegal trade in pharmaceutical products is widely recognized by the industry, non-governmental organizations and governmental authorities to be increasing. Illegal trade includes counterfeiting, theft and illegal diversion (that is, when our products are found in a market where we did not send them and where they are not approved to be sold). There is a risk to public health when illegally traded products enter the supply chain, as well as associated financial risk. Authorities and the public expect us to help reduce opportunities for illegal trade in our products through securing our supply chains, surveillance, investigation and supporting legal action against those found to be engaged in illegal trade.</w:t>
      </w:r>
    </w:p>
    <w:p>
      <w:pPr>
        <w:spacing w:after="0" w:line="170"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Public loss of confidence in the integrity of pharmaceutical products as a result of illegal trade could materially adversely affect our reputation and financial performance. In addition, undue or misplaced concern about this issue may cause some patients to stop taking their medications, with consequential risks to their health.</w:t>
      </w:r>
    </w:p>
    <w:p>
      <w:pPr>
        <w:spacing w:after="0" w:line="129"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If we are found liable for breaches in our supply chains, authorities may take action, financial or otherwise, that could adversely impact the distribution of our products. Counterfeit and/or illegally diverted products replacing sales of genuine products in a market can have a direct financial impact on our global markets as well as being a risk to patient safety.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and our customers depend on patents, copyrights, trademarks, know-how, trade secrets, and other forms of intellectual property protections, but these protections may not be adequate.</w:t>
      </w:r>
    </w:p>
    <w:p>
      <w:pPr>
        <w:spacing w:after="0" w:line="15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We rely on a combination of know-how, trade secrets, patents, copyrights, trademarks, and other intellectual property laws, nondisclosure and other contractual provisions, and technical measures to protect many of our products, services and intangible assets. These proprietary rights are important to our ongoing operations. There can be no assurance that these protections will provide uniqueness or meaningful competitive differentiation in our offerings or otherwise be commercially valuable or that we will be successful in obtaining additional intellectual property or enforcing our intellectual property rights against unauthorized users. Our exclusive rights under certain of our products and services are protected by patents, some of which will expire in the near term. When patents covering a product or service expire, loss of exclusivity may occur, which may force us to compete with third parties, thereby negatively affecting our revenue and profitability. We do not currently expect any material loss of revenue to occur as a result of the expiration of any patent currently protecting our business.</w:t>
      </w:r>
    </w:p>
    <w:p>
      <w:pPr>
        <w:spacing w:after="0" w:line="156"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Our proprietary rights may be invalidated, circumvented, or challenged. We may in the future be subject to proceedings seeking to oppose or limit the scope of our patent applications or issued patents. In addition, in the future, we may need to take legal actions to enforce our intellectual property rights, to protect our trade secrets, or to determine the validity or scope of the proprietary rights of others. Legal proceedings are inherently uncertain, and the outcome of such proceedings may be unfavorable to us.</w:t>
      </w:r>
    </w:p>
    <w:p>
      <w:pPr>
        <w:spacing w:after="0" w:line="127"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Any legal action regardless of outcome might result in substantial costs and diversion of resources and management attention. Although we use reasonable efforts to protect our proprietary and confidential information, there can be no assurance that our confidentiality and non-disclosure agreements will not be breached, our trade secrets will not otherwise become known by competitors, or that we will have adequate remedies in the event of unauthorized use or disclosure of proprietary information. Even if the validity and enforceability of our intellectual property is upheld, an adjudicator might construe our intellectual property not to cover the alleged infringement. In addition, intellectual property enforcement may be unavailable or practically ineffective in some countries. There can be no assurance that our competitors will not independently develop technologies that are substantially equivalent or superior to our technology or that third parties will not design around our intellectual property claims to produce competitive offerings. The use of our technology or similar technology by others could reduce or eliminate any competitive advantage we have developed, cause us to lose sales, or otherwise harm our business.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25" w:name="page26"/>
    <w:bookmarkEnd w:id="25"/>
    <w:p>
      <w:pPr>
        <w:jc w:val="both"/>
        <w:ind w:firstLine="574"/>
        <w:spacing w:after="0" w:line="276" w:lineRule="auto"/>
        <w:rPr>
          <w:sz w:val="20"/>
          <w:szCs w:val="20"/>
          <w:color w:val="auto"/>
        </w:rPr>
      </w:pPr>
      <w:r>
        <w:rPr>
          <w:rFonts w:ascii="Arial" w:cs="Arial" w:eastAsia="Arial" w:hAnsi="Arial"/>
          <w:sz w:val="15"/>
          <w:szCs w:val="15"/>
          <w:color w:val="auto"/>
        </w:rPr>
        <w:t>We have applied in the United States, Colombia and certain other countries for registration of a number of trademarks, service marks, and patents, some of which have been registered or issued, and also claim common law rights in various trademarks and service marks. In the past, third parties have occasionally opposed our applications to register intellectual property, and there can be no assurance that they will not do so in the future. It is possible that in some cases we may be unable to obtain the registrations for trademarks, service marks, and patents for which we have applied, and a failure to obtain trademark and patent registrations in the United States, Colombia or other countries could limit our ability to protect our trademarks and proprietary technologies and impede our marketing efforts in those jurisdictions.</w:t>
      </w:r>
    </w:p>
    <w:p>
      <w:pPr>
        <w:spacing w:after="0" w:line="15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License agreements with third parties control our rights to use certain patents, software, and information technology systems and proprietary technologies owned by third parties, some of which are important to our business. Termination of these license agreements for any reason could result in the loss of our rights to this intellectual property, causing an adverse change in our operations or the inability to commercialize certain offerings.</w:t>
      </w:r>
    </w:p>
    <w:p>
      <w:pPr>
        <w:spacing w:after="0" w:line="16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In addition, many of our branded pharmaceutical customers rely on patents to protect their products from generic competition. Because incentives exist in some countries, including the United States, for generic pharmaceutical companies to challenge these patents, pharmaceutical and biotechnology companies are under the ongoing threat of challenges to their patents. If the patents on which our customers rely were successfully challenged and, as a result, the affected products become subject to generic competition, the market for our customers’ products could be significantly adversely affected, which could have an adverse effect on our business, financial condition and results of operations. We attempt to mitigate these risks by making our offerings available to generic manufacturers and distributors in the United States, as well as branded manufacturers and distributors world-wide, but there can be no assurance that we will be successful in marketing these offerings.</w:t>
      </w:r>
    </w:p>
    <w:p>
      <w:pPr>
        <w:spacing w:after="0" w:line="15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Our products and services, or our customers’ products, may infringe on the intellectual property rights of third parties and any such infringement could have a material adverse effect on our business.</w:t>
      </w:r>
    </w:p>
    <w:p>
      <w:pPr>
        <w:spacing w:after="0" w:line="15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From time to time, third parties have asserted intellectual property infringement claims against us and our customers, and there can be no assurance that third parties will not assert infringement claims against either us or our customers in the future. While we believe that our products and services do not infringe in any material respect upon proprietary rights of other parties, and that meritorious defenses would exist with respect to any assertion to the contrary, there can be no assurance that we could successfully avoid being found to infringe on the proprietary rights of others. Patent applications in the United States, Colombia and certain other countries are generally not publicly disclosed until the patent is issued or published, and we and our customers may not be aware of currently filed patent applications that relate to our or their products, services, or processes. If patents later issue on these applications, we or they may be found liable for subsequent infringement. There has been substantial litigation in the pharmaceutical industry with respect to the manufacture, use, and sale of products that are the subject of conflicting patent rights.</w:t>
      </w:r>
    </w:p>
    <w:p>
      <w:pPr>
        <w:spacing w:after="0" w:line="156"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Any claim that our products, services or processes infringe third-party intellectual property rights (including claims arising through our contractual indemnification of our customers), regardless of the claim’s merit or resolution, could be costly and may divert the efforts and attention of our management and technical personnel. We may not prevail against any such claim given the complex technical issues and inherent uncertainties in intellectual property matters. If any such claim results in an adverse outcome, we could, among other things, be required to:</w:t>
      </w:r>
    </w:p>
    <w:p>
      <w:pPr>
        <w:spacing w:after="0" w:line="165" w:lineRule="exact"/>
        <w:rPr>
          <w:sz w:val="20"/>
          <w:szCs w:val="20"/>
          <w:color w:val="auto"/>
        </w:rPr>
      </w:pPr>
    </w:p>
    <w:p>
      <w:pPr>
        <w:ind w:left="740" w:hanging="362"/>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pay substantial damages (potentially including treble damages in the United States);</w:t>
      </w:r>
    </w:p>
    <w:p>
      <w:pPr>
        <w:spacing w:after="0" w:line="198" w:lineRule="exact"/>
        <w:rPr>
          <w:rFonts w:ascii="Arial" w:cs="Arial" w:eastAsia="Arial" w:hAnsi="Arial"/>
          <w:sz w:val="16"/>
          <w:szCs w:val="16"/>
          <w:color w:val="auto"/>
        </w:rPr>
      </w:pPr>
    </w:p>
    <w:p>
      <w:pPr>
        <w:ind w:left="740" w:hanging="362"/>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cease the manufacture, use, or sale of the infringing offerings or processes;</w:t>
      </w:r>
    </w:p>
    <w:p>
      <w:pPr>
        <w:spacing w:after="0" w:line="198" w:lineRule="exact"/>
        <w:rPr>
          <w:rFonts w:ascii="Arial" w:cs="Arial" w:eastAsia="Arial" w:hAnsi="Arial"/>
          <w:sz w:val="16"/>
          <w:szCs w:val="16"/>
          <w:color w:val="auto"/>
        </w:rPr>
      </w:pPr>
    </w:p>
    <w:p>
      <w:pPr>
        <w:ind w:left="740" w:hanging="362"/>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discontinue the use of the infringing technology;</w:t>
      </w:r>
    </w:p>
    <w:p>
      <w:pPr>
        <w:spacing w:after="0" w:line="198" w:lineRule="exact"/>
        <w:rPr>
          <w:rFonts w:ascii="Arial" w:cs="Arial" w:eastAsia="Arial" w:hAnsi="Arial"/>
          <w:sz w:val="16"/>
          <w:szCs w:val="16"/>
          <w:color w:val="auto"/>
        </w:rPr>
      </w:pPr>
    </w:p>
    <w:p>
      <w:pPr>
        <w:ind w:left="740" w:hanging="362"/>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expend significant resources to develop non-infringing technology;</w:t>
      </w:r>
    </w:p>
    <w:p>
      <w:pPr>
        <w:spacing w:after="0" w:line="198" w:lineRule="exact"/>
        <w:rPr>
          <w:rFonts w:ascii="Arial" w:cs="Arial" w:eastAsia="Arial" w:hAnsi="Arial"/>
          <w:sz w:val="16"/>
          <w:szCs w:val="16"/>
          <w:color w:val="auto"/>
        </w:rPr>
      </w:pPr>
    </w:p>
    <w:p>
      <w:pPr>
        <w:ind w:left="740" w:hanging="362"/>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license technology from the third-party claiming infringement, which license may not be available on commercially reasonable terms or at all; and</w:t>
      </w:r>
    </w:p>
    <w:p>
      <w:pPr>
        <w:spacing w:after="0" w:line="198" w:lineRule="exact"/>
        <w:rPr>
          <w:rFonts w:ascii="Arial" w:cs="Arial" w:eastAsia="Arial" w:hAnsi="Arial"/>
          <w:sz w:val="16"/>
          <w:szCs w:val="16"/>
          <w:color w:val="auto"/>
        </w:rPr>
      </w:pPr>
    </w:p>
    <w:p>
      <w:pPr>
        <w:ind w:left="740" w:right="20" w:hanging="362"/>
        <w:spacing w:after="0" w:line="275"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lose the opportunity to license our technology to others or to collect royalty payments based upon successful protection and assertion of our intellectual property against others.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26" w:name="page27"/>
    <w:bookmarkEnd w:id="26"/>
    <w:p>
      <w:pPr>
        <w:jc w:val="both"/>
        <w:ind w:right="20" w:firstLine="574"/>
        <w:spacing w:after="0" w:line="275" w:lineRule="auto"/>
        <w:rPr>
          <w:sz w:val="20"/>
          <w:szCs w:val="20"/>
          <w:color w:val="auto"/>
        </w:rPr>
      </w:pPr>
      <w:r>
        <w:rPr>
          <w:rFonts w:ascii="Arial" w:cs="Arial" w:eastAsia="Arial" w:hAnsi="Arial"/>
          <w:sz w:val="16"/>
          <w:szCs w:val="16"/>
          <w:color w:val="auto"/>
        </w:rPr>
        <w:t>In addition, our customers’ products may be subject to claims of intellectual property infringement and such claims could materially affect our business if their products cease to be manufactured or they have to discontinue the use of the infringing technology.</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of the foregoing could affect our ability to compete or have a material adverse effect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Countries We Operate In</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are an international company with operations primarily in Latin America and are subject to the market risks of the countries in which we manufacture and/or sell our products, and to risks associated with foreign exchange rates.</w:t>
      </w:r>
    </w:p>
    <w:p>
      <w:pPr>
        <w:spacing w:after="0" w:line="15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We currently maintain production facilities in Colombia, Brazil, El Salvador and recently in the United States. On December 31, 2021 we acquired an FDA approved 86,000 square feet pharmaceutical production facility located in West Palm Beach, Florida; our first US-based Softgel production facility and R&amp;D center, which is expected to begin operations in May of 2022. Our ability to conduct and expand our business and our financial performance are subject to the risks inherent to international operations, such as currency controls, currency fluctuations, trade barriers, increases in duties, taxes and governmental royalties, nationalization, forced negotiation, changes in local labor conditions, labor strikes, price instability, interest rates, modification of existing contracts and changes in local laws and policies, regulation, taxation, social instability and other political, social and economic developments affecting the countries in which we operate. We have no control over these factors and they may have an adverse effect on our business, financial condition, results of operations and prospects.</w:t>
      </w:r>
    </w:p>
    <w:p>
      <w:pPr>
        <w:spacing w:after="0" w:line="156"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We report our financial results in U.S. dollars. However, a significant portion of our net sales, assets, indebtedness and other liabilities, and costs are denominated in foreign currencies. These currencies include, among others, the Colombian Peso, the Brazilian Real, and the Peruvian Soles. Approximately 41% of our revenue for the year ended December 31, 2021 was U.S. dollar denominated. Our results of operations and, in some cases, cash flows, have in the past been, and may in the future be, adversely affected by movements in exchange rates. Although a significant portion of our operating costs are denominated in foreign (non-U.S.) currency, naturally reducing our exposure to changes in certain foreign currency exchange rates, we may implement currency hedges or take other actions intended to further reduce our exposure to changes in foreign currency exchange rates. If we are not successful in mitigating the effects of changes in exchange rates on our business, any such changes could materially impact our results.</w:t>
      </w:r>
    </w:p>
    <w:p>
      <w:pPr>
        <w:spacing w:after="0" w:line="143"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Additionally, our operations may be adversely affected by trade barriers, increases in duties, taxes and governmental royalties, social unrest, labor strikes, expropriation, nationalization, forced negotiation or modification of existing contracts, and changes in the local laws and policies of the countries in which we conduct our business. We are also exposed to risks related to social instability and other political, economic or social events in these countries, which could have an adverse effect on our business, financial condition and results of operations, as well as our ability to comply with our financial obligations in a timely manner.</w:t>
      </w:r>
    </w:p>
    <w:p>
      <w:pPr>
        <w:spacing w:after="0" w:line="151"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In addition, several emerging market economies are particularly vulnerable to the impact of rising interest rates, inflationary pressures, higher oil and other commodity prices, and large external deficits. Risks in one country can limit our opportunities for portfolio growth and negatively affect our operations in another country or countries. As a result, any such unfavorable conditions or developments could have an adverse impact on our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Many of our assets are located in, and a large part of our income is earned in, Colombia and, thus, we are dependent on economic and political conditions in Colombia.</w:t>
      </w:r>
    </w:p>
    <w:p>
      <w:pPr>
        <w:spacing w:after="0" w:line="221"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Several of our subsidiaries, such as Procaps, S.A., organized as a capital stock corporation (</w:t>
      </w:r>
      <w:r>
        <w:rPr>
          <w:rFonts w:ascii="Arial" w:cs="Arial" w:eastAsia="Arial" w:hAnsi="Arial"/>
          <w:sz w:val="16"/>
          <w:szCs w:val="16"/>
          <w:i w:val="1"/>
          <w:iCs w:val="1"/>
          <w:color w:val="auto"/>
        </w:rPr>
        <w:t>sociedad anónima</w:t>
      </w:r>
      <w:r>
        <w:rPr>
          <w:rFonts w:ascii="Arial" w:cs="Arial" w:eastAsia="Arial" w:hAnsi="Arial"/>
          <w:sz w:val="16"/>
          <w:szCs w:val="16"/>
          <w:color w:val="auto"/>
        </w:rPr>
        <w:t>), and Diabetrics Healthcare S.A.S., organized as simplified stock corporation (</w:t>
      </w:r>
      <w:r>
        <w:rPr>
          <w:rFonts w:ascii="Arial" w:cs="Arial" w:eastAsia="Arial" w:hAnsi="Arial"/>
          <w:sz w:val="16"/>
          <w:szCs w:val="16"/>
          <w:i w:val="1"/>
          <w:iCs w:val="1"/>
          <w:color w:val="auto"/>
        </w:rPr>
        <w:t>sociedad por acciones simplificada</w:t>
      </w:r>
      <w:r>
        <w:rPr>
          <w:rFonts w:ascii="Arial" w:cs="Arial" w:eastAsia="Arial" w:hAnsi="Arial"/>
          <w:sz w:val="16"/>
          <w:szCs w:val="16"/>
          <w:color w:val="auto"/>
        </w:rPr>
        <w:t>), are organized under the laws of Colombia. Many of our assets are located in Colombia and a portion of our income is earned in Colombia. Our assets and income are subject to political, economic, regulatory and other uncertainties, including expropriation, nationalization, renegotiation or voiding of existing contracts, currency exchange restrictions and international monetary fluctuations. Accordingly, our financial condition and results of operations depend significantly on macroeconomic and political conditions prevailing in Colombia.</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Colombia, inflation rates have fluctuated significantly in recent years. The inflation rate reached 5.62% and 1.61% for the years ended December 31, 2021 and 2020, respectively. We cannot assure you that inflation rates will remain stable or that inflation rates will not increase significantly in the future.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27" w:name="page28"/>
    <w:bookmarkEnd w:id="27"/>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Changes in economic policies in Colombia could affect our business, financial condition and results of operations, as well as the ability of our subsidiaries to pay dividends or make other distributions to us.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financial condition and results of operations may be adversely affected by changes in the political climate of Colombia to the extent that such changes affect the economic policies, growth, stability, outlook or regulatory environment.</w:t>
      </w:r>
    </w:p>
    <w:p>
      <w:pPr>
        <w:spacing w:after="0" w:line="15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The Colombian Government has historically exercised substantial influence on the local economy, and governmental policies are likely to continue to have an important effect on companies operating in Colombia like us, market conditions and the prices of securities of issuers operating in Colombia, including the Notes. The President of Colombia has considerable power to determine governmental policies and actions relating to the economy and may adopt policies that may negatively affect us. We cannot predict which policies will be adopted by the new government and whether those policies would have a negative impact on the Colombian economy, on the pharmaceutical or healthcare industry or on our business, financial performance and results of operations.</w:t>
      </w:r>
    </w:p>
    <w:p>
      <w:pPr>
        <w:spacing w:after="0" w:line="170"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We cannot provide any assurances that political or social developments in Colombia over which we have no control, will not have an adverse effect on our respective economic situations and will not adversely affect the business, financial condition and results of operations of our subsidiaries and their ability to pay dividends or make other distributions to us. This could have a material adverse effect on our business, results of operations, financial condition and ability to make payments on the Notes.</w:t>
      </w:r>
    </w:p>
    <w:p>
      <w:pPr>
        <w:spacing w:after="0" w:line="127"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Pursuant to the peace agreements negotiated between the FARC and the Colombian Government in 2016, the FARC occupies five seats in the Colombian Senate and five seats in the Colombian House of Representatives. We cannot predict which policies will be adopted by the Colombian Government and whether the policies would have a negative impact on the Colombian economy, on the pharmaceutical or healthcare industry or on our business, financial condition and results of operations. Furthermore, there can be no assurance that the peso will not depreciate or appreciate relative to the U.S. dollar and other currencies in the future.</w:t>
      </w:r>
    </w:p>
    <w:p>
      <w:pPr>
        <w:spacing w:after="0" w:line="15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The Colombian Government and the Colombian Central Bank exercise significant influence on the Colombian economy. Political and economic conditions may have an impact on our business, financial condition and results of operations.</w:t>
      </w:r>
    </w:p>
    <w:p>
      <w:pPr>
        <w:spacing w:after="0" w:line="15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The Colombian Government and the Colombian Central Bank can intervene in Colombia’s economy and make significant changes in monetary, fiscal and regulatory policy, which could result in currency devaluation and the changes in international reserves. Our business, financial condition and results of operations may be adversely affected by changes in government or fiscal policies, and other political, diplomatic, social and economic developments that may affect Colombia or the international markets. Possible developments include fluctuations in exchange rates, inflation, instability of prices, changes in interest rates, liquidity of domestic capital and debt markets, exchange controls, deposit requirements on foreign borrowings, controls on capital flows, and limits on foreign trade.</w:t>
      </w:r>
    </w:p>
    <w:p>
      <w:pPr>
        <w:spacing w:after="0" w:line="155"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Although the Colombian Government has not imposed foreign exchange restrictions since 1990, Colombia’s foreign currency markets have historically been extremely regulated. Colombian law permits the Colombian Central Bank to impose foreign exchange controls to regulate the remittance of dividends and/or foreign investments in the event that the foreign currency reserves of the Colombian Central Bank fall below a level equal to the value of three months of imports of goods and services into Colombia. Please see “Exchange Rates and Controls” for actions the Colombian Central Bank could take to intervene in the exchange market. An intervention that precludes us from possessing, utilizing or remitting dollars would impair our financial condition and results of operations, and would impair the shareholders’ ability to convert any dividend payments to U.S. dollars.</w:t>
      </w:r>
    </w:p>
    <w:p>
      <w:pPr>
        <w:spacing w:after="0" w:line="170"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The Colombian Government has considerable power to shape the Colombian economy and, consequently, affect the operations and financial performance of businesses. The Colombian Government may seek to implement new policies aimed at controlling further fluctuation of the </w:t>
      </w:r>
      <w:r>
        <w:rPr>
          <w:rFonts w:ascii="Arial" w:cs="Arial" w:eastAsia="Arial" w:hAnsi="Arial"/>
          <w:sz w:val="16"/>
          <w:szCs w:val="16"/>
          <w:i w:val="1"/>
          <w:iCs w:val="1"/>
          <w:color w:val="auto"/>
        </w:rPr>
        <w:t>peso</w:t>
      </w:r>
      <w:r>
        <w:rPr>
          <w:rFonts w:ascii="Arial" w:cs="Arial" w:eastAsia="Arial" w:hAnsi="Arial"/>
          <w:sz w:val="16"/>
          <w:szCs w:val="16"/>
          <w:color w:val="auto"/>
        </w:rPr>
        <w:t xml:space="preserve"> against the U.S. dollar and fostering domestic price stability. The president of Colombia has considerable power to determine governmental policies and actions relating to the economy and may adopt policies that are inconsistent with those of the prior government or that negatively affect us.</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Many of our assets are located in, and a large part of our income is earned in, El Salvador and, thus, we are dependent on economic and political conditions in El Salvador.</w:t>
      </w:r>
    </w:p>
    <w:p>
      <w:pPr>
        <w:spacing w:after="0" w:line="15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We have two manufacturing facilities in El Salvador and a large part of our income is earned in El Salvador. The assets and income of our subsidiaries in El Salvador are subject to political, economic, regulatory and other uncertainties, including expropriation, nationalization and renegotiation or voiding of existing contracts. Accordingly, our financial condition and results of operations depend significantly on macroeconomic and political conditions prevailing in El Salvador.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28" w:name="page29"/>
    <w:bookmarkEnd w:id="28"/>
    <w:p>
      <w:pPr>
        <w:ind w:left="560"/>
        <w:spacing w:after="0"/>
        <w:rPr>
          <w:sz w:val="20"/>
          <w:szCs w:val="20"/>
          <w:color w:val="auto"/>
        </w:rPr>
      </w:pPr>
      <w:r>
        <w:rPr>
          <w:rFonts w:ascii="Arial" w:cs="Arial" w:eastAsia="Arial" w:hAnsi="Arial"/>
          <w:sz w:val="16"/>
          <w:szCs w:val="16"/>
          <w:color w:val="auto"/>
        </w:rPr>
        <w:t>An emerging country such as El Salvador is subject to many different factors that may affect its economic results, including the following:</w:t>
      </w:r>
    </w:p>
    <w:p>
      <w:pPr>
        <w:spacing w:after="0" w:line="198" w:lineRule="exact"/>
        <w:rPr>
          <w:sz w:val="20"/>
          <w:szCs w:val="20"/>
          <w:color w:val="auto"/>
        </w:rPr>
      </w:pPr>
    </w:p>
    <w:p>
      <w:pPr>
        <w:ind w:left="860" w:hanging="291"/>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financial regulation in the United States;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economic or tax policies in El Salvador;</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ability of El Salvador to effect key economic reforms;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impact of hostilities or political unrest in other countries that may affect international trade, commodity prices and the global economy;</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internal security issues relating to crime and violence; and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low GDP growth rate in El Salvador;</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El Salvador’s economy remains vulnerable to external shocks, including global economic crises that could be caused by future significant economic difficulties of its major regional trading partners or by more general “contagion” effects, which could have a material adverse effect on El Salvador’s economic growth and therefore our operations in the country.</w:t>
      </w:r>
    </w:p>
    <w:p>
      <w:pPr>
        <w:spacing w:after="0" w:line="16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A significant decline in the economic growth of any of El Salvador’s major trading partners could adversely affect El Salvador’s economic growth. In particular, a decline in economic growth in the United States could affect the level of remittances received in El Salvador, which in turn could affect El Salvador’s balance of payments and domestic demand. In addition, because international investors’ reactions to the events occurring in one emerging market country sometimes appear to demonstrate a “contagion” effect, in which an entire region or class of investment is disfavored by international investors, El Salvador could be adversely affected by negative economic or financial developments in other emerging market countries.</w:t>
      </w:r>
    </w:p>
    <w:p>
      <w:pPr>
        <w:spacing w:after="0" w:line="170"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There can be no assurance that any crises such as those described above or similar events will not negatively affect investor confidence in emerging markets or the economies of the principal countries in Latin America, including El Salvador.</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significant assets in Brazil, and a large part of our income is earned in Brazil and, thus, we are dependent on economic and political conditions in Brazil.</w:t>
      </w:r>
    </w:p>
    <w:p>
      <w:pPr>
        <w:spacing w:after="0" w:line="221"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have a manufacturing facility in Brazil and a large part of our income is earned in Brazil. As are all assets and income located or earned in emerging market countries, the assets and income of our subsidiaries in Brazil are subject to political, economic, regulatory and other uncertainties, including expropriation, nationalization, renegotiation or voiding of existing contracts, currency exchange restrictions and international monetary fluctuations. Accordingly, our financial condition and results of operations depend significantly on macroeconomic and political conditions prevailing in Brazil.</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The Brazilian government has exercised and continues to exercise significant influence on the Brazilian economy. This influence, as well as Brazilian political and economic conditions, could adversely affect us.</w:t>
      </w:r>
    </w:p>
    <w:p>
      <w:pPr>
        <w:spacing w:after="0" w:line="15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The Brazilian economy has been characterized by intervention by the Brazilian government, which has often changed monetary, credit and other policies to influence Brazil’s economy. The Brazilian government’s actions to control inflation and affect other policies have often involved wage and price controls, depreciation of the real, controls on remittances abroad, fluctuations of the Brazilian Central Bank’s base interest rate, as well as other measures. We do not have any control over what measures or policies the Brazilian government may adopt in the future and we cannot foresee them. Our business, financial condition, results of operations, and prospects may suffer from significant changes in policies or regulations involving or affecting factors such as:</w:t>
      </w:r>
    </w:p>
    <w:p>
      <w:pPr>
        <w:spacing w:after="0" w:line="170" w:lineRule="exact"/>
        <w:rPr>
          <w:sz w:val="20"/>
          <w:szCs w:val="20"/>
          <w:color w:val="auto"/>
        </w:rPr>
      </w:pPr>
    </w:p>
    <w:p>
      <w:pPr>
        <w:ind w:left="860" w:hanging="291"/>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expansion or contraction of the global or Brazilian economy;</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currency exchange controls and restrictions on remittances abroad;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economic and social instability;</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political elections;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import and export controls;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significant exchange rate fluctuations;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tax regimes and taxation;</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labor regulations;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liquidity of financial and domestic capital markets;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29" w:name="page30"/>
    <w:bookmarkEnd w:id="29"/>
    <w:p>
      <w:pPr>
        <w:ind w:left="860" w:hanging="291"/>
        <w:spacing w:after="0"/>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inflation;</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monetary policy;</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regulatory environment applicable to our activities;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fiscal policy; and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political, diplomatic, social, and economic events that may take place in Brazil or may affect it.</w:t>
      </w:r>
    </w:p>
    <w:p>
      <w:pPr>
        <w:spacing w:after="0" w:line="19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The Brazilian Central Bank has intervened occasionally to control unstable movements in the foreign exchange rate. We cannot predict whether the Brazilian Central Bank will continue to let the real float freely. Accordingly, it is not possible to predict what impact the Brazilian government’s exchange rate policies may have on us. We cannot assure that in the future the Brazilian government will not impose a band within which the real U.S. dollar-real exchange rate could fluctuate or set fixed exchange rates, nor can we predict what impact such an event might have on our business, financial position or operating results.</w:t>
      </w:r>
    </w:p>
    <w:p>
      <w:pPr>
        <w:spacing w:after="0" w:line="151"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Uncertainty regarding the Brazilian government’s implementation of changes in policies or regulations that may affect these or other factors in the future could contribute to economic uncertainty in Brazil and to heightened volatility in the market for Brazilian securities and for securities issued abroad by Brazilian companies. Such uncertainties and other future developments in the Brazilian economy and governmental policies in respect of the above may materially and adversely affect us.</w:t>
      </w:r>
    </w:p>
    <w:p>
      <w:pPr>
        <w:spacing w:after="0" w:line="146"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Brazilian politics have historically affected the performance of the Brazilian economy, and past political crises have affected the confidence of investors and the public, generally resulting in an economic slowdown and volatility of securities issued by Brazilian companies. The impeachment of former President Dilma Rouseff, opposition to current President Jair Bolsonaro, as well as wide-scale protests throughout Brazil focused on economic and political reform, have led to a climate of growing uncertainty. Brazilian presidents have substantial power to determine public policy, as well as to introduce measures affecting the Brazilian economy and the operations and financial results of companies such as ours. The conviction, imprisonment and release of former President Luiz Inacio Lula da Silva and his potential presidential candidacy in 2022 has further increased political and economic instability.</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New and amended Brazilian policies and regulations, whether in response to further protests, as a result of the upcoming 2022 general elections or otherwise, could have a material adverse effect on our business, financial condition and results of operations.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addition, uncertainty over whether the acting Brazilian government will have the political power or will to implement other needed policies or regulations affecting the above or other factors in the future may also contribute to economic uncertainty in Brazil.</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Laws and Regulations</w:t>
      </w:r>
    </w:p>
    <w:p>
      <w:pPr>
        <w:spacing w:after="0" w:line="20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b w:val="1"/>
          <w:bCs w:val="1"/>
          <w:i w:val="1"/>
          <w:iCs w:val="1"/>
          <w:color w:val="auto"/>
        </w:rPr>
        <w:t>A significant portion of medication on the market, including ours, is subject to price control regulations. This control may limit our margins and our ability to pass on cost increases to our customers, which could have a material adverse effect on our business, financial condition and results of operations.</w:t>
      </w:r>
    </w:p>
    <w:p>
      <w:pPr>
        <w:spacing w:after="0" w:line="129"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We are subject to a variety of legislation that imposes price controls over certain pharmaceutical products that we manufacture and sell. Among these laws are Colombian regulations that establish price controls for certain drugs or groups of medication, which take into consideration factors such as the number of manufactures of such drugs and competitors in the market, and the impact on the private sector or commercial channels, as defined by Colombia’s National Drug and Medical Devices Pricing Commission (</w:t>
      </w:r>
      <w:r>
        <w:rPr>
          <w:rFonts w:ascii="Arial" w:cs="Arial" w:eastAsia="Arial" w:hAnsi="Arial"/>
          <w:sz w:val="15"/>
          <w:szCs w:val="15"/>
          <w:i w:val="1"/>
          <w:iCs w:val="1"/>
          <w:color w:val="auto"/>
        </w:rPr>
        <w:t>Comisión Nacional de Precios de Medicamentos y Dispositivos Médicos</w:t>
      </w:r>
      <w:r>
        <w:rPr>
          <w:rFonts w:ascii="Arial" w:cs="Arial" w:eastAsia="Arial" w:hAnsi="Arial"/>
          <w:sz w:val="15"/>
          <w:szCs w:val="15"/>
          <w:color w:val="auto"/>
        </w:rPr>
        <w:t>), which applies a methodology based on a price comparison in international markets that are comparable with the Colombian market. In Brazil there is legislation which limits price increases and inflation adjustments to once per year, according to a cap based on the National Broad Consumer Price Index (</w:t>
      </w:r>
      <w:r>
        <w:rPr>
          <w:rFonts w:ascii="Arial" w:cs="Arial" w:eastAsia="Arial" w:hAnsi="Arial"/>
          <w:sz w:val="15"/>
          <w:szCs w:val="15"/>
          <w:i w:val="1"/>
          <w:iCs w:val="1"/>
          <w:color w:val="auto"/>
        </w:rPr>
        <w:t>Índice Nacional de Preços aos Consumidores Amplo</w:t>
      </w:r>
      <w:r>
        <w:rPr>
          <w:rFonts w:ascii="Arial" w:cs="Arial" w:eastAsia="Arial" w:hAnsi="Arial"/>
          <w:sz w:val="15"/>
          <w:szCs w:val="15"/>
          <w:color w:val="auto"/>
        </w:rPr>
        <w:t>), a productivity factor and an adjustment factor, all calculated as percentages per year. These price controls, among others, have resulted in lower profit margins. We cannot guarantee that we will be able to maintain our profit margins in the future or that the governments in the jurisdictions in which we operate will not impose additional or more restrictive price controls, which may have a material adverse effect on our business, financial condition and results of operations.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We may be held liable if a consumer has an adverse health reaction to a product we sell or manufacture.</w:t>
      </w:r>
    </w:p>
    <w:p>
      <w:pPr>
        <w:spacing w:after="0" w:line="198"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color w:val="auto"/>
        </w:rPr>
        <w:t>The use or misuse of our products may result in adverse health reactions in our consumers. Incidents involving our products may have a material adverse effect on us. Lawsuits, including product liability or administrative cases, may be filed against us claiming that our products were spoiled, tampered with, contaminated, did not meet the product descriptions, or did not contain appropriate disclosure information on possible side-effects or risks, among other things. These cases may result in significant expenses due to product recalls. Any real or potential health risk associated with our products, including negative publicity, may cause our consumers to lose their trust in the safety, efficiency and quality of our products. Even if products manufactured by third-parties harm consumers, our industry may suffer from negative publicity, which could decrease demand for our products. Any claim of this type against our products may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product and other liability risks that could exceed our anticipated costs or adversely affect our results of operations, financial condition, and cash flows.</w:t>
      </w:r>
    </w:p>
    <w:p>
      <w:pPr>
        <w:spacing w:after="0" w:line="233"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We are subject to potentially significant product liability and other liability risks that are inherent in the design, development, manufacture, and marketing of our products and services. We may be named as a defendant in product liability lawsuits, which may allege that our products and services have resulted or could result in an unsafe condition or injury to consumers. Such lawsuits could be costly to defend and could result in reduced sales, significant liabilities, and diversion of management’s time, attention, and resources. Even claims without merit could subject us to adverse publicity and require us to incur significant legal fees.</w:t>
      </w:r>
    </w:p>
    <w:p>
      <w:pPr>
        <w:spacing w:after="0" w:line="151" w:lineRule="exact"/>
        <w:rPr>
          <w:sz w:val="20"/>
          <w:szCs w:val="20"/>
          <w:color w:val="auto"/>
        </w:rPr>
      </w:pPr>
    </w:p>
    <w:p>
      <w:pPr>
        <w:jc w:val="both"/>
        <w:ind w:right="20" w:firstLine="574"/>
        <w:spacing w:after="0" w:line="295" w:lineRule="auto"/>
        <w:rPr>
          <w:sz w:val="20"/>
          <w:szCs w:val="20"/>
          <w:color w:val="auto"/>
        </w:rPr>
      </w:pPr>
      <w:r>
        <w:rPr>
          <w:rFonts w:ascii="Arial" w:cs="Arial" w:eastAsia="Arial" w:hAnsi="Arial"/>
          <w:sz w:val="14"/>
          <w:szCs w:val="14"/>
          <w:color w:val="auto"/>
        </w:rPr>
        <w:t>Furthermore, product liability claims and lawsuits, regardless of their ultimate outcome, could have a material adverse effect on our business operations, financial condition, and reputation and on our ability to attract and retain customers. We have historically sought to manage this risk through the combination of product liability insurance and contractual indemnities and liability limitations in our agreements with customers and vendors. The availability of product liability insurance for companies in the pharmaceutical industry is generally more limited than insurance available to companies in other industries. Insurance carriers providing product liability insurance to those in the pharmaceutical and biotechnology industries generally limit the amount of available policy limits, require larger self-insured retentions, and exclude coverage for certain products and claims. We maintain product liability insurance with annual aggregate limits in excess of $15 million. There can be no assurance that a successful product liability or other claim would be adequately covered by our applicable insurance policies or by any applicable contractual indemnity or liability limitations.</w:t>
      </w:r>
    </w:p>
    <w:p>
      <w:pPr>
        <w:spacing w:after="0" w:line="14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Failure to comply with existing and future regulatory requirements could adversely affect our business, financial condition and results of operations, or result in claims from customers.</w:t>
      </w:r>
    </w:p>
    <w:p>
      <w:pPr>
        <w:spacing w:after="0" w:line="152" w:lineRule="exact"/>
        <w:rPr>
          <w:sz w:val="20"/>
          <w:szCs w:val="20"/>
          <w:color w:val="auto"/>
        </w:rPr>
      </w:pPr>
    </w:p>
    <w:p>
      <w:pPr>
        <w:jc w:val="both"/>
        <w:ind w:firstLine="574"/>
        <w:spacing w:after="0" w:line="252" w:lineRule="auto"/>
        <w:rPr>
          <w:sz w:val="20"/>
          <w:szCs w:val="20"/>
          <w:color w:val="auto"/>
        </w:rPr>
      </w:pPr>
      <w:r>
        <w:rPr>
          <w:rFonts w:ascii="Arial" w:cs="Arial" w:eastAsia="Arial" w:hAnsi="Arial"/>
          <w:sz w:val="16"/>
          <w:szCs w:val="16"/>
          <w:color w:val="auto"/>
        </w:rPr>
        <w:t>The healthcare industry is highly regulated. We, and our customers, are subject to various local, state, federal, national, and transnational laws and regulations, which include the operating, quality, and security standards of INVIMA, the FDA, Brazil’s Health Regulatory Agency (</w:t>
      </w:r>
      <w:r>
        <w:rPr>
          <w:rFonts w:ascii="Arial" w:cs="Arial" w:eastAsia="Arial" w:hAnsi="Arial"/>
          <w:sz w:val="16"/>
          <w:szCs w:val="16"/>
          <w:i w:val="1"/>
          <w:iCs w:val="1"/>
          <w:color w:val="auto"/>
        </w:rPr>
        <w:t>Agência Nacional de Vigilância Sanitária,</w:t>
      </w:r>
      <w:r>
        <w:rPr>
          <w:rFonts w:ascii="Arial" w:cs="Arial" w:eastAsia="Arial" w:hAnsi="Arial"/>
          <w:sz w:val="16"/>
          <w:szCs w:val="16"/>
          <w:color w:val="auto"/>
        </w:rPr>
        <w:t xml:space="preserve"> or “ANVISA”), Health Canada, the United Kingdom’s Medicines and Healthcare products Regulatory Agency (the “MHRA”), Australia’s Department of Health Therapeutic Goods Administration (the “TGA”), Mexico’s Federal Commission for the Protection against Sanitary Risk (</w:t>
      </w:r>
      <w:r>
        <w:rPr>
          <w:rFonts w:ascii="Arial" w:cs="Arial" w:eastAsia="Arial" w:hAnsi="Arial"/>
          <w:sz w:val="16"/>
          <w:szCs w:val="16"/>
          <w:i w:val="1"/>
          <w:iCs w:val="1"/>
          <w:color w:val="auto"/>
        </w:rPr>
        <w:t>Comisión Federal para la Protección contra Riesgos Sanitarios</w:t>
      </w:r>
      <w:r>
        <w:rPr>
          <w:rFonts w:ascii="Arial" w:cs="Arial" w:eastAsia="Arial" w:hAnsi="Arial"/>
          <w:sz w:val="16"/>
          <w:szCs w:val="16"/>
          <w:color w:val="auto"/>
        </w:rPr>
        <w:t>, or “Cofepris”) and various state boards of pharmacy, state health departments, and other similar bodies and agencies of the jurisdictions in which we operate, and, in the future, any change to such laws and regulations could adversely affect us. Among other rules affecting us, we are subject to laws and regulations concerning manufacturing practices and drug safety. Our subsidiaries may be required to register for permits or licenses, and may be required to comply, with the laws and regulations of such agencies, boards of pharmacy, health departments, or other comparable agencies in various jurisdictions around the world, as well as certain accrediting bodies, such as the International Organization for Standardization (“ISO”), depending upon the type of operations and locations of distribution and sale of the products manufactured or services provided by those subsidiaries.</w:t>
      </w:r>
    </w:p>
    <w:p>
      <w:pPr>
        <w:spacing w:after="0" w:line="171"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The manufacture, distribution, and marketing of our products and services are subject to extensive ongoing regulation by INVIMA, FDA, ANVISA, Health Canada, MHRA, TGA, Cofepris and other equivalent local, state, federal, national, and transnational regulatory authorities. Failure by us or by our customers to comply with the requirements of these regulatory authorities could result in warning letters, product recalls or seizures, monetary sanctions, injunctions to halt manufacture or distribution, restrictions on our operations, civil or criminal sanctions, or withdrawal of existing or denial of pending approvals, permits, or registrations, including those relating to products or facilities. In addition, any such failure relating to the products or services we provide could expose us to contractual or product liability claims as well as claims from our customers, including claims for reimbursement for lost or damaged active pharmaceutical ingredients, which cost could be significant.</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In addition, any new products or services classified as pharmaceutical must undergo lengthy and rigorous clinical testing and other extensive, costly, and time-consuming procedures mandated by the regulatory authorities in the jurisdictions that regulate our products or services. We or our customers may elect to delay or cancel anticipated regulatory submissions for current or proposed new products or services for any number of reasons.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31" w:name="page32"/>
    <w:bookmarkEnd w:id="31"/>
    <w:p>
      <w:pPr>
        <w:jc w:val="both"/>
        <w:ind w:firstLine="574"/>
        <w:spacing w:after="0" w:line="295" w:lineRule="auto"/>
        <w:rPr>
          <w:sz w:val="20"/>
          <w:szCs w:val="20"/>
          <w:color w:val="auto"/>
        </w:rPr>
      </w:pPr>
      <w:r>
        <w:rPr>
          <w:rFonts w:ascii="Arial" w:cs="Arial" w:eastAsia="Arial" w:hAnsi="Arial"/>
          <w:sz w:val="14"/>
          <w:szCs w:val="14"/>
          <w:color w:val="auto"/>
        </w:rPr>
        <w:t>Although we believe that we comply in all material respects with applicable laws and regulations, there can be no assurance that a regulatory agency or tribunal would not reach a different conclusion concerning the compliance of our operations with applicable laws and regulations. In addition, there can be no assurance that we will be able to maintain or renew existing permits, licenses, or other regulatory approvals or obtain, without significant delay, future permits, licenses, or other approvals needed for the operation of our businesses. Any noncompliance by us or our customers with applicable law or regulation or the failure to maintain, renew, or obtain necessary permits and licenses could have an adverse effect on our business, financial condition and results of operations. Furthermore, loss of a permit, license, or other approval in any one portion of our business may have indirect consequences in another portion of our business if regulators or customers adjust their reviews of such other portion as a result or customers cease business with such other portion due to fears that such loss is a sign of broader concerns about our ability to deliver products or services of sufficient quality.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environmental, health, and safety laws and regulations, which could increase our costs and restrict our operations in the future.</w:t>
      </w:r>
    </w:p>
    <w:p>
      <w:pPr>
        <w:spacing w:after="0" w:line="198" w:lineRule="exact"/>
        <w:rPr>
          <w:sz w:val="20"/>
          <w:szCs w:val="20"/>
          <w:color w:val="auto"/>
        </w:rPr>
      </w:pPr>
    </w:p>
    <w:p>
      <w:pPr>
        <w:jc w:val="both"/>
        <w:ind w:firstLine="574"/>
        <w:spacing w:after="0" w:line="252" w:lineRule="auto"/>
        <w:rPr>
          <w:sz w:val="20"/>
          <w:szCs w:val="20"/>
          <w:color w:val="auto"/>
        </w:rPr>
      </w:pPr>
      <w:r>
        <w:rPr>
          <w:rFonts w:ascii="Arial" w:cs="Arial" w:eastAsia="Arial" w:hAnsi="Arial"/>
          <w:sz w:val="16"/>
          <w:szCs w:val="16"/>
          <w:color w:val="auto"/>
        </w:rPr>
        <w:t>Our operations are subject to a variety of environmental, health, and safety laws and regulations in each of the jurisdictions in which we operate. These laws and regulations govern, among other things, air emissions, wastewater discharges, the use, handling, and disposal of hazardous substances and wastes, soil and groundwater contamination, and employee health and safety. Any failure by us to comply with environmental, health, and safety requirements could result in the limitation or suspension of production or subject us to monetary fines, civil or criminal sanctions, or other future liabilities in excess of our reserves. We are also subject to laws and regulations governing the destruction and disposal of raw materials and non-compliant products, the handling of regulated material included in our products, and the disposal of our products or their components at the end of their useful lives. In addition, compliance with environmental, health, and safety requirements could restrict our ability to expand our facilities or require us to acquire costly environmental or safety control equipment, incur other significant expenses, or modify our manufacturing processes. Our manufacturing facilities may use, in varying degrees, hazardous substances in their processes. Any contamination at our current facilities, or at formerly owned or operated properties, can result in liability to us.</w:t>
      </w:r>
    </w:p>
    <w:p>
      <w:pPr>
        <w:spacing w:after="0" w:line="173"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In the event of the discovery of new or previously unknown contamination either at our facilities or at third-party locations, including facilities we formerly owned or operated, or the imposition of cleanup obligations for which we are responsible, we may be required to take additional, unplanned remedial measures for which we have not recorded reserves, which could have a material adverse effect on our business, financial condition and results of operations.</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Failure to meet regulatory or ethical expectations on environmental impact, including climate change, could affect our ability to market and sell our products if other products with a better carbon footprint are available.</w:t>
      </w:r>
    </w:p>
    <w:p>
      <w:pPr>
        <w:spacing w:after="0" w:line="152" w:lineRule="exact"/>
        <w:rPr>
          <w:sz w:val="20"/>
          <w:szCs w:val="20"/>
          <w:color w:val="auto"/>
        </w:rPr>
      </w:pPr>
    </w:p>
    <w:p>
      <w:pPr>
        <w:jc w:val="both"/>
        <w:ind w:right="20" w:firstLine="574"/>
        <w:spacing w:after="0" w:line="272" w:lineRule="auto"/>
        <w:rPr>
          <w:sz w:val="20"/>
          <w:szCs w:val="20"/>
          <w:color w:val="auto"/>
        </w:rPr>
      </w:pPr>
      <w:r>
        <w:rPr>
          <w:rFonts w:ascii="Arial" w:cs="Arial" w:eastAsia="Arial" w:hAnsi="Arial"/>
          <w:sz w:val="15"/>
          <w:szCs w:val="15"/>
          <w:color w:val="auto"/>
        </w:rPr>
        <w:t>The physical risks that climate change poses to our business have been analyzed and we expect exposure to periods of extreme heat, floods and water scarcity to become more frequent and severe in some regions where we operate, in the medium to longer term. These conditions may pose physical risks to our business and supply chain. Among our initiatives to mitigate our impact on the planet and the climate crisis, we have recently designed a carbon neutrality strategy which we launched at the end of 2021. Our strategy has the goal of, among others, (i) calculating our baseline carbon footprint and comparing it to the footprint of similar businesses to identify a benchmark, (ii) identifying greenhouse gas emissions mitigation opportunities, and (iii) developing a strategy combining mitigation and offsetting to become carbon neutral by a date to be determined. If global temperatures continue to rise and we are unable to adapt to such risks, our business and supply chain may be adversely affected, which could have a material adverse effect on our financial condition and results of operations. For more information on our carbon neutrality strategy, see Item 4.B under the heading “Corporate Responsibilities and Environmental, Social, and Governance (“ESG”) –– Carbon Neutrality Strategy” in this annual report.</w:t>
      </w:r>
    </w:p>
    <w:p>
      <w:pPr>
        <w:spacing w:after="0" w:line="157"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Furthermore, there is an increasing global focus from regulators, investors, healthcare providers and broader society regarding measures needed to transition to a low carbon economy and the impact that this transition will have on businesses. In some markets, regulators or healthcare providers may choose not to approve or reimburse our products if other products with a better carbon footprint are available. In addition, carbon taxes and fees may be imposed on us and our suppliers as a way to reduce greenhouse gas emissions.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global operations are subject to economic, political, and regulatory risks, including the risks of changing regulatory standards or changing interpretations of existing standards that could affect our financial condition and results of operation or require costly changes to our business.</w:t>
      </w:r>
    </w:p>
    <w:p>
      <w:pPr>
        <w:spacing w:after="0" w:line="15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We conduct our operations in various regions of the world, including South America, Central America, North America and Europe. Global and regional economic and regulatory developments affect businesses such as ours in many ways. Our operations are subject to the effects of global and regional competition, including potential competition from manufacturers in low-cost jurisdictions such as India and China. Local jurisdiction risks include regulatory risks arising from local laws. Our global operations are also affected by local economic environments, including inflation and recession. Political changes, some of which may be disruptive, and related hostilities can interfere with our supply chain, our customers, and some or all of our activities in a particular location. While some of these risks can be hedged using derivatives or other financial instruments and some are insurable, such mitigating measures may be unavailable, costly, or unsuccessful.</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32" w:name="page33"/>
    <w:bookmarkEnd w:id="32"/>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Tax legislative or regulatory initiatives, such as the 2021 Colombian Tax Reform, new interpretations or developments concerning existing tax laws, or challenges to our tax positions could adversely affect our results of operations and financial condition.</w:t>
      </w:r>
    </w:p>
    <w:p>
      <w:pPr>
        <w:spacing w:after="0" w:line="15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We are a large multinational enterprise with operations in 13 countries throughout the world, including Colombia, Brazil, El Salvador and the United States, and we do business with suppliers and customers in over 50 countries. As such, we are subject to the tax laws and regulations of various jurisdictions, including U.S. federal, state, and local governments. From time to time, various legislative initiatives, such as Colombia’s Social Investment Law (</w:t>
      </w:r>
      <w:r>
        <w:rPr>
          <w:rFonts w:ascii="Arial" w:cs="Arial" w:eastAsia="Arial" w:hAnsi="Arial"/>
          <w:sz w:val="16"/>
          <w:szCs w:val="16"/>
          <w:i w:val="1"/>
          <w:iCs w:val="1"/>
          <w:color w:val="auto"/>
        </w:rPr>
        <w:t>Ley de Inversión Social</w:t>
      </w:r>
      <w:r>
        <w:rPr>
          <w:rFonts w:ascii="Arial" w:cs="Arial" w:eastAsia="Arial" w:hAnsi="Arial"/>
          <w:sz w:val="16"/>
          <w:szCs w:val="16"/>
          <w:color w:val="auto"/>
        </w:rPr>
        <w:t>, or the “2021 Colombian Tax Reform”), may be proposed that could adversely affect our tax positions, and existing legislation, such as the 2017 U.S. Tax Cuts and Jobs Act, may be subject to additional regulatory changes or new interpretations.</w:t>
      </w:r>
    </w:p>
    <w:p>
      <w:pPr>
        <w:spacing w:after="0" w:line="170"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The 2021 Colombian Tax Reform includes certain tax measures intended to generate additional tax revenues to fund social programs and promote public spending to mitigate the economic and social effects of the COVID-19 pandemic. These tax measures include increasing the corporate tax rate from 30% to 35%, while maintaining the rates for the special tax regime and free-trade zones at 20% and continuing to limit the amount of turnover tax that taxpayers may claim as a corporate income tax credit to 50%, among others. The 2021 Colombian Tax Reform took effect beginning in 2022. We cannot anticipate the impact that the 2021 Colombia Tax Reform may have, nor the measures that could be adopted by the current administration in order to meet its financial obligations, which might negatively affect Colombia’s economy and, in turn, our business, financial condition and results of operations. There can be no assurance that our effective tax rate or tax payments will not be adversely affected by the 2021 Colombian Tax Reform or these other initiatives. For a discussion on the 2021 Colombian Tax Reform, see Item 4 under the heading “Business Overview––2021 Colombian Tax Reform” in this annual report.</w:t>
      </w:r>
    </w:p>
    <w:p>
      <w:pPr>
        <w:spacing w:after="0" w:line="169"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In addition, the tax laws of several of the countries we operate in, including Brazilian and U.S. federal, state and local tax laws and regulations are extremely complex and subject to varying interpretations. We are subject to regular examination of our income tax returns by various tax authorities. Examinations or changes in laws, rules, regulations, or interpretations by taxing authorities could result in adverse impacts to tax years open under statute or to our operating structures currently in place. We regularly assess the likelihood of adverse outcomes resulting from these examinations or changes in laws, rules, regulations, or interpretations to determine the reasonableness of our provision for taxes. It is possible that the outcomes from these examinations or changes in laws, rules, regulations, or interpretations by taxing authorities will have a material adverse effect on our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labor and employment laws and regulations, which could increase our costs and restrict our operations in the future.</w:t>
      </w:r>
    </w:p>
    <w:p>
      <w:pPr>
        <w:spacing w:after="0" w:line="198"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As of December 31, 2021, we employed more than 4,900 individuals worldwide, primarily in South and Central America. Our management believes that our employee relations are satisfactory. Approximately 41 of our employees in our Rymco and Softgel manufacturing facilities are currently represented by industry labor union organizations. However, further organizing activities, collective bargaining, or changes in the regulatory framework for employment may increase our employment-related costs or may result in work stoppages or other labor disruptions. Moreover, as employers are subject to various employment-related claims, such as individual and class actions relating to alleged employment discrimination and wage-hour and labor standards issues, such actions, if brought against us and successful in whole or in part, may affect our ability to compete or have a material adverse effect on our business, financial condition, and results of operations.</w:t>
      </w:r>
    </w:p>
    <w:p>
      <w:pPr>
        <w:spacing w:after="0" w:line="15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are subject to governmental export and import controls that could impair our ability to compete in international markets and subject us to liability if we are not in compliance with applicable laws.</w:t>
      </w:r>
    </w:p>
    <w:p>
      <w:pPr>
        <w:spacing w:after="0" w:line="15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Our products are subject to export control and import laws and regulations of the jurisdictions in which we operate. Exports of our products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65"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In addition, changes in our products or changes in applicable export or import laws and regulations may create delays in the introduction, provision, or sale of our products in international markets, prevent customers from using our products or, in some cases, prevent the export or import of our products to certain countries, governments or persons altogether. Any limitation on our ability to export, provide, or sell our products could adversely affect our business, financial condition and results of operations.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33" w:name="page34"/>
    <w:bookmarkEnd w:id="33"/>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Failure to comply with the U.S. Foreign Corrupt Practices Act and similar laws associated with our activities in other jurisdictions could subject us to penalties and other adverse consequences.</w:t>
      </w:r>
    </w:p>
    <w:p>
      <w:pPr>
        <w:spacing w:after="0" w:line="152"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As a substantial portion of our revenues is, and we expect will continue to be, from jurisdictions outside of the United States, we face significant risks if we fail to comply with the U.S. Foreign Corrupt Practices Act (“FCPA”) and other laws that prohibit improper payments or offers of payment to governments and their officials and political parties by us and other business entities for the purpose of obtaining or retaining business. In many countries, particularly in countries with developing economies, some of which represent significant markets in which we operate, it may be a local custom that businesses operating in such countries engage in business practices that are prohibited by the FCPA or other laws and regulations. Although we have implemented company policy requiring employees and consultants to comply with the FCPA and similar laws, such policy may not be effective at preventing all potential FCPA or other violations. In addition, we cannot guarantee the compliance by our partners, resellers, suppliers and agents with applicable laws, including the FCPA. Therefore, there can be no assurance that none of our employees or agents will take actions in violation of our policies or of applicable laws, for which we may be ultimately held responsible. Any violation of the FCPA and related policies could result in severe criminal or civil sanctions, which could have a material and adverse effect on our reputation,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Status as a Publicly Traded Company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management has limited experience in operating a public company.</w:t>
      </w:r>
    </w:p>
    <w:p>
      <w:pPr>
        <w:spacing w:after="0" w:line="198" w:lineRule="exact"/>
        <w:rPr>
          <w:sz w:val="20"/>
          <w:szCs w:val="20"/>
          <w:color w:val="auto"/>
        </w:rPr>
      </w:pPr>
    </w:p>
    <w:p>
      <w:pPr>
        <w:jc w:val="both"/>
        <w:ind w:right="20" w:firstLine="574"/>
        <w:spacing w:after="0" w:line="272" w:lineRule="auto"/>
        <w:rPr>
          <w:sz w:val="20"/>
          <w:szCs w:val="20"/>
          <w:color w:val="auto"/>
        </w:rPr>
      </w:pPr>
      <w:r>
        <w:rPr>
          <w:rFonts w:ascii="Arial" w:cs="Arial" w:eastAsia="Arial" w:hAnsi="Arial"/>
          <w:sz w:val="15"/>
          <w:szCs w:val="15"/>
          <w:color w:val="auto"/>
        </w:rPr>
        <w:t>Our executive officers have limited experience in the management of a publicly traded company. Our senior management team may not successfully or effectively manage our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controlled by the Minski Family, whose interests may conflict with our interests and the interests of our other shareholders.</w:t>
      </w:r>
    </w:p>
    <w:p>
      <w:pPr>
        <w:spacing w:after="0" w:line="198"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The Minski Family, through Deseja, Sognatore and Simphony, owns 59.6% of the issued and outstanding Ordinary Shares, including 10,464,612 Ordinary Shares that is held in escrow subject to release pursuant to the terms of the Transaction Support Agreement and the related escrow agreement. As long as the Minski Family owns at least 50% of the outstanding Ordinary Shares, the Minski Family will have the ability to determine all ordinary corporate actions requiring shareholder approval, including the election and removal of directors and the size of our Board of Directors (within the limits provided for in the Company’s amended and restated articles of association). Our Board of Directors may, without any approval required by our shareholders, decide upon, under certain circumstances, a sale of substantially all of our assets. If any shareholder or group of shareholders were to own 2/3 or more of the outstanding Ordinary Shares, such shareholder or group of shareholders would have the required majority pursuant to Luxembourg law and the Company’s amended and restated articles of association to amend the Company’s amended and restated articles of association and take all other shareholder resolutions which require at least 2/3 of the outstanding Ordinary Shares. In addition, pursuant to the Nomination Agreement, the Minski Family has the right to propose for appointment a majority of the Board of Directors, at least one-half of whom must be independent under Nasdaq rules, and the right to appoint a director to each committee of the Board of Directors. Such rights of the Minski Family shall terminate upon the earlier of (i) 20 years from the date of the Nomination Agreement and (ii) the date on which the Minski Family, or its affiliates, cease to beneficially own, in the aggregate, 30% of the outstanding Ordinary Shares. This could have the effect of delaying or preventing a change in control or otherwise discouraging a potential acquirer from attempting to obtain control of the company, which could cause the market price of Ordinary Shares to decline or prevent shareholders from realizing a premium over the market price for Ordinary Shares. The Minski Family’s interests may conflict with our interests as a company or the interests of our other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market for our securities may not continue, which would adversely affect the liquidity and price of our securities.</w:t>
      </w:r>
    </w:p>
    <w:p>
      <w:pPr>
        <w:spacing w:after="0" w:line="198"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The price of our securities may fluctuate significantly due to the market’s reaction to general market and economic conditions. An active trading market for our securities may never develop or, if developed, it may not be sustained. In addition, the price of our securities can vary due to general economic conditions and forecasts, our general business condition and the release of financial reports. 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it were quoted or listed on Nasdaq or another national securities exchange. Shareholders may be unable to sell our securities unless a market can be established or sustained.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34" w:name="page35"/>
    <w:bookmarkEnd w:id="34"/>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If securities or industry analysts cease publishing research or reports about us, our business, or our market, or if they change their recommendations regarding the Ordinary Shares adversely, then the price and trading volume of Ordinary Shares could decline.</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trading market for the Ordinary Shares will be influenced by the research and reports that industry or securities analysts publish about us, our business, our market, or our competitors. If any of the analysts who cover us change their recommendation regarding the Ordinary Shares adversely, or provide more favorable relative recommendations about our competitors, the price of the Ordinary Shares would likely decline.</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5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We currently qualify as an “emerging growth company” as defined in Section 2(a)(19) of the Securities Act, as modified by the Jumpstart Our Business Startups Act of 2012, which we refer to as the “JOBS Act.” As such, we take advantage of certain exemptions from various reporting requirements applicable to other public companies that are not emerging growth companies for as long as we continue to be an emerging growth company, including the exemption from the auditor attestation requirements with respect to internal control over financial reporting under Section 404 of the Sarbanes-Oxley Act. As a result, our shareholders may not have access to certain information they deem important. We expect to remain an emerging growth company until December 31, 2022.</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cannot predict if investors will find the Ordinary Shares less attractive because we rely on these exemptions. If some investors find the Ordinary Shares less attractive as a result, there may be a less active trading market and the share price for the Ordinary Shares may be more volatile.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Investment in a Luxembourg Company and Our Status as a Foreign Private Issuer</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As a foreign private issuer, the Company is exempt from a number of U.S. securities laws and rules promulgated thereunder and will be permitted to publicly disclose less information than U.S. public companies must. This may limit the information available to holders of the Ordinary Shares.</w:t>
      </w:r>
    </w:p>
    <w:p>
      <w:pPr>
        <w:spacing w:after="0" w:line="15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The Company qualifies as a “foreign private issuer,” as defined in the SEC’s rules and regulations, and, consequently, it will not be subject to all of the disclosure requirements applicable to public companies organized within the United States. For example, the Company is exempt from certain rules under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For example, some of our key executives may sell a significant number of Ordinary Shares and such sales will not be required to be disclosed as promptly as public companies organized within the United States would have to disclose. Accordingly, once such sales are eventually disclosed, the price of Ordinary Shares may decline significantly. Moreover, we will not be required to file periodic reports and financial statements with the SEC as frequently or as promptly as U.S. public companies. We will also not be subject to Regulation FD under the Exchange Act, which would prohibit us from selectively disclosing material nonpublic information to certain persons without concurrently making a widespread public disclosure of such information. Accordingly, there may be less publicly available information concerning us than there is for U.S. public companies.</w:t>
      </w:r>
    </w:p>
    <w:p>
      <w:pPr>
        <w:spacing w:after="0" w:line="16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The Company may lose its foreign private issuer status in the future, which could result in significant additional costs and expenses. This would subject us to GAAP reporting requirements which may be difficult for it to comply with.</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As a “foreign private issuer,” the Company is not required to comply with all of the periodic disclosure and current reporting requirements of the Exchange Act and related rules and regulations. Under those rules, the determination of foreign private issuer status is made annually on the last business day of an issuer’s most recently completed second fiscal quarter, and, accordingly, the next determination will be made on June 30, 2022.</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35" w:name="page36"/>
    <w:bookmarkEnd w:id="35"/>
    <w:p>
      <w:pPr>
        <w:jc w:val="both"/>
        <w:ind w:firstLine="574"/>
        <w:spacing w:after="0" w:line="288" w:lineRule="auto"/>
        <w:rPr>
          <w:sz w:val="20"/>
          <w:szCs w:val="20"/>
          <w:color w:val="auto"/>
        </w:rPr>
      </w:pPr>
      <w:r>
        <w:rPr>
          <w:rFonts w:ascii="Arial" w:cs="Arial" w:eastAsia="Arial" w:hAnsi="Arial"/>
          <w:sz w:val="14"/>
          <w:szCs w:val="14"/>
          <w:color w:val="auto"/>
        </w:rPr>
        <w:t>In the future, the Company could lose its foreign private issuer status if a majority of the Ordinary Shares are held by residents in the United States and we fail to meet any one of the additional “business contacts” requirements. Although we intend to follow certain practices that are consistent with U.S. regulatory provisions applicable to U.S. companies, the loss of our foreign private issuer status would make such provisions mandatory. The regulatory and compliance costs under U.S. securities laws if we are deemed a U.S. domestic issuer may be significantly higher. If the Company is not a foreign private issuer, we will be required to file periodic reports and prospectuses on U.S. domestic issuer forms with the SEC, which are more detailed and extensive than the forms available to a foreign private issuer. For example, the Company would become subject to the Regulation FD, aimed at preventing issuers from making selective disclosures of material information. We may also be required to modify certain of our policies to comply with good governance practices associated with U.S. domestic issuers. Such conversion and modifications will involve additional costs. In addition, we may lose our ability to rely upon exemptions from certain corporate governance requirements of Nasdaq that are available to foreign private issuers. For example, Nasdaq’s corporate governance rules require listed companies to have, among other things, a majority of independent board members and independent director oversight of executive compensation, nomination of directors, and corporate governance matters. As a foreign private issuer, we are permitted to follow home country practice in lieu of the above requirements. We intend to follow Luxembourg practice with respect to quorum requirements for shareholder meetings in lieu of the requirement under Nasdaq Listing Rules that the quorum be not less than 33 1/3% of the outstanding voting shares. Under the Company’s amended and restated articles of association, at an ordinary general meeting, there is no quorum requirement and resolutions are adopted by a simple majority of validly cast votes. In addition, under the Company’s amended and restated articles of association, for any resolutions to be considered at an extraordinary general meeting of shareholders, the quorum shall be at least one half of our issued share capital unless otherwise mandatorily required by law. As long as we rely on the foreign private issuer exemption to certain of Nasdaq’s corporate governance standards, a majority of the directors on our Board of Directors are not required to be independent directors, our compensation committee is not required to be comprised entirely of independent directors, and we will not be required to have a nominating committee. Also, we would be required to change our basis of accounting from IFRS as issued by the IASB to GAAP, which may be difficult and costly for us to comply with. If we lose our foreign private issuer status and fail to comply with U.S. securities laws applicable to U.S. domestic issuers, we may have to de-list from Nasdaq and could be subject to investigation by the SEC, Nasdaq and other regulators, among other materially adverse consequences.</w:t>
      </w:r>
    </w:p>
    <w:p>
      <w:pPr>
        <w:spacing w:after="0" w:line="153"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If the Company no longer qualifies as a foreign private issuer, we may be eligible to take advantage of exemptions from Nasdaq’s corporate governance standards if we continue to qualify as a “controlled company.” The Minski Family owns 59.6% of the issued and outstanding Ordinary Shares, including 10,464,612 Ordinary Shares held in escrow subject to release pursuant to the terms of the Transaction Support Agreement and the related escrow agreement. As a result, we are a “controlled company” within the meaning of Nasdaq rules. Under these rules, a company of which more than 50% of the voting power for the election of directors is held by an individual, a group, or another company is a “controlled company” and may elect not to comply with certain corporate governance requirements, including:</w:t>
      </w:r>
    </w:p>
    <w:p>
      <w:pPr>
        <w:spacing w:after="0" w:line="155" w:lineRule="exact"/>
        <w:rPr>
          <w:sz w:val="20"/>
          <w:szCs w:val="20"/>
          <w:color w:val="auto"/>
        </w:rPr>
      </w:pPr>
    </w:p>
    <w:p>
      <w:pPr>
        <w:ind w:left="860" w:hanging="291"/>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requirement that a majority of its board of directors consist of independent directors;</w:t>
      </w:r>
    </w:p>
    <w:p>
      <w:pPr>
        <w:spacing w:after="0" w:line="198" w:lineRule="exact"/>
        <w:rPr>
          <w:rFonts w:ascii="Arial" w:cs="Arial" w:eastAsia="Arial" w:hAnsi="Arial"/>
          <w:sz w:val="16"/>
          <w:szCs w:val="16"/>
          <w:color w:val="auto"/>
        </w:rPr>
      </w:pPr>
    </w:p>
    <w:p>
      <w:pPr>
        <w:ind w:left="860" w:right="20" w:hanging="291"/>
        <w:spacing w:after="0" w:line="309" w:lineRule="auto"/>
        <w:tabs>
          <w:tab w:leader="none" w:pos="8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requirement that compensation of its executive officers be determined by a majority of the independent directors of the board or a compensation committee comprised solely of independent directors with a written charter addressing the committee’s purpose and responsibilities; and</w:t>
      </w:r>
    </w:p>
    <w:p>
      <w:pPr>
        <w:spacing w:after="0" w:line="129" w:lineRule="exact"/>
        <w:rPr>
          <w:rFonts w:ascii="Arial" w:cs="Arial" w:eastAsia="Arial" w:hAnsi="Arial"/>
          <w:sz w:val="15"/>
          <w:szCs w:val="15"/>
          <w:color w:val="auto"/>
        </w:rPr>
      </w:pPr>
    </w:p>
    <w:p>
      <w:pPr>
        <w:ind w:left="860" w:right="20" w:hanging="291"/>
        <w:spacing w:after="0" w:line="309" w:lineRule="auto"/>
        <w:tabs>
          <w:tab w:leader="none" w:pos="8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requirement that director nominees be selected, or recommended for the board’s selection, either by a majority of the independent directors of the board or a nominating committee comprised solely of independent directors with a written charter addressing the committee’s purpose and responsibilities.</w:t>
      </w:r>
    </w:p>
    <w:p>
      <w:pPr>
        <w:spacing w:after="0" w:line="12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If we elect to take advantage of these exemptions, shareholders would not have the same protections afforded to shareholders of companies that are subject to all the Nasdaq corporate governance standards.</w:t>
      </w:r>
    </w:p>
    <w:p>
      <w:pPr>
        <w:spacing w:after="0" w:line="15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b w:val="1"/>
          <w:bCs w:val="1"/>
          <w:i w:val="1"/>
          <w:iCs w:val="1"/>
          <w:color w:val="auto"/>
        </w:rPr>
        <w:t>The Company is organized under the laws of the Grand Duchy of Luxembourg and a substantial amount of our assets are not located in the United States. It may be difficult for you to obtain or enforce judgments or bring original actions against us or the members of our Board of Directors in the United States.</w:t>
      </w:r>
    </w:p>
    <w:p>
      <w:pPr>
        <w:spacing w:after="0" w:line="129"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The Company is incorporated under the laws of the Grand Duchy of Luxembourg. In addition, a substantial amount of our assets is located outside the United States. Furthermore, some of the members of our Board of Directors and officers reside outside the United States and a substantial portion of our assets are located outside the United States. Investors may not be able to effect service of process within the United States upon us or these persons or enforce judgments obtained against us or these persons in U.S. courts, including judgments in actions predicated upon the civil liability provisions of the U.S. federal securities laws. Likewise, it also may be difficult for an investor to enforce in U.S. courts judgments obtained against us or these persons in courts located in jurisdictions outside the United States, including judgments predicated upon the civil liability provisions of the U.S. federal securities laws. Awards of punitive damages in actions brought in the United States or elsewhere are generally not enforceable in the Grand Duchy of Luxembourg.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36" w:name="page37"/>
    <w:bookmarkEnd w:id="36"/>
    <w:p>
      <w:pPr>
        <w:jc w:val="both"/>
        <w:ind w:firstLine="574"/>
        <w:spacing w:after="0" w:line="276" w:lineRule="auto"/>
        <w:rPr>
          <w:sz w:val="20"/>
          <w:szCs w:val="20"/>
          <w:color w:val="auto"/>
        </w:rPr>
      </w:pPr>
      <w:r>
        <w:rPr>
          <w:rFonts w:ascii="Arial" w:cs="Arial" w:eastAsia="Arial" w:hAnsi="Arial"/>
          <w:sz w:val="15"/>
          <w:szCs w:val="15"/>
          <w:color w:val="auto"/>
        </w:rPr>
        <w:t>As there is no treaty in force on the reciprocal recognition and enforcement of judgments in civil and commercial matters between the United States and the Grand Duchy of Luxembourg, courts in the Grand Duchy of Luxembourg will not automatically recognize and enforce a final judgment rendered by a U.S. court. However, a party who received such favorable judgment in a U.S. Court may initiate enforcement proceedings in the Grand Duchy of Luxembourg (</w:t>
      </w:r>
      <w:r>
        <w:rPr>
          <w:rFonts w:ascii="Arial" w:cs="Arial" w:eastAsia="Arial" w:hAnsi="Arial"/>
          <w:sz w:val="15"/>
          <w:szCs w:val="15"/>
          <w:i w:val="1"/>
          <w:iCs w:val="1"/>
          <w:color w:val="auto"/>
        </w:rPr>
        <w:t>exequatur</w:t>
      </w:r>
      <w:r>
        <w:rPr>
          <w:rFonts w:ascii="Arial" w:cs="Arial" w:eastAsia="Arial" w:hAnsi="Arial"/>
          <w:sz w:val="15"/>
          <w:szCs w:val="15"/>
          <w:color w:val="auto"/>
        </w:rPr>
        <w:t>) by requesting enforcement of the U.S. judgment by the District Court (</w:t>
      </w:r>
      <w:r>
        <w:rPr>
          <w:rFonts w:ascii="Arial" w:cs="Arial" w:eastAsia="Arial" w:hAnsi="Arial"/>
          <w:sz w:val="15"/>
          <w:szCs w:val="15"/>
          <w:i w:val="1"/>
          <w:iCs w:val="1"/>
          <w:color w:val="auto"/>
        </w:rPr>
        <w:t>Tribunal d’Arrondissement</w:t>
      </w:r>
      <w:r>
        <w:rPr>
          <w:rFonts w:ascii="Arial" w:cs="Arial" w:eastAsia="Arial" w:hAnsi="Arial"/>
          <w:sz w:val="15"/>
          <w:szCs w:val="15"/>
          <w:color w:val="auto"/>
        </w:rPr>
        <w:t>) pursuant to Section 678 of the New Luxembourg Code of Civil Procedure. The District Court will authorize the enforcement in Luxembourg of the U.S. judgment if it is satisfied that all of the following conditions are met:</w:t>
      </w:r>
    </w:p>
    <w:p>
      <w:pPr>
        <w:spacing w:after="0" w:line="155" w:lineRule="exact"/>
        <w:rPr>
          <w:sz w:val="20"/>
          <w:szCs w:val="20"/>
          <w:color w:val="auto"/>
        </w:rPr>
      </w:pPr>
    </w:p>
    <w:p>
      <w:pPr>
        <w:ind w:left="860" w:hanging="291"/>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U.S. judgment is enforceable (</w:t>
      </w:r>
      <w:r>
        <w:rPr>
          <w:rFonts w:ascii="Arial" w:cs="Arial" w:eastAsia="Arial" w:hAnsi="Arial"/>
          <w:sz w:val="16"/>
          <w:szCs w:val="16"/>
          <w:i w:val="1"/>
          <w:iCs w:val="1"/>
          <w:color w:val="auto"/>
        </w:rPr>
        <w:t>exécutoire</w:t>
      </w:r>
      <w:r>
        <w:rPr>
          <w:rFonts w:ascii="Arial" w:cs="Arial" w:eastAsia="Arial" w:hAnsi="Arial"/>
          <w:sz w:val="16"/>
          <w:szCs w:val="16"/>
          <w:color w:val="auto"/>
        </w:rPr>
        <w:t>) in the United States;</w:t>
      </w:r>
    </w:p>
    <w:p>
      <w:pPr>
        <w:spacing w:after="0" w:line="198"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U.S. court awarding the judgment had jurisdiction to adjudicate the applicable matter under applicable U.S. federal or state jurisdictions rules, and the jurisdiction of the U.S. court is recognized by Luxembourg private international and local law;</w:t>
      </w:r>
    </w:p>
    <w:p>
      <w:pPr>
        <w:spacing w:after="0" w:line="151" w:lineRule="exact"/>
        <w:rPr>
          <w:rFonts w:ascii="Arial" w:cs="Arial" w:eastAsia="Arial" w:hAnsi="Arial"/>
          <w:sz w:val="16"/>
          <w:szCs w:val="16"/>
          <w:color w:val="auto"/>
        </w:rPr>
      </w:pPr>
    </w:p>
    <w:p>
      <w:pPr>
        <w:jc w:val="both"/>
        <w:ind w:left="860" w:hanging="291"/>
        <w:spacing w:after="0" w:line="262"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U.S. court has applied the substantive law as designated by the Grand Duchy of Luxembourg conflict of laws rules according to certain Luxembourg case law, it is admitted that the Grand Duchy of Luxembourg courts which are asked to grant an exequatur do not have to verify whether the substantive law actually applied by the U.S. court awarding the judgment was the law which would have been applied;</w:t>
      </w:r>
    </w:p>
    <w:p>
      <w:pPr>
        <w:spacing w:after="0" w:line="162" w:lineRule="exact"/>
        <w:rPr>
          <w:rFonts w:ascii="Arial" w:cs="Arial" w:eastAsia="Arial" w:hAnsi="Arial"/>
          <w:sz w:val="16"/>
          <w:szCs w:val="16"/>
          <w:color w:val="auto"/>
        </w:rPr>
      </w:pPr>
    </w:p>
    <w:p>
      <w:pPr>
        <w:ind w:left="860" w:hanging="291"/>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U.S. judgment does not contravene international public policy or order as understood under the laws of Luxembourg;</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U.S. court has acted in accordance with its own procedural rules and laws;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U.S. judgment was granted following proceedings where the counterparty had the opportunity to appear, and if it appeared, to present a defense; and</w:t>
      </w:r>
    </w:p>
    <w:p>
      <w:pPr>
        <w:spacing w:after="0" w:line="209" w:lineRule="exact"/>
        <w:rPr>
          <w:rFonts w:ascii="Arial" w:cs="Arial" w:eastAsia="Arial" w:hAnsi="Arial"/>
          <w:sz w:val="15"/>
          <w:szCs w:val="15"/>
          <w:color w:val="auto"/>
        </w:rPr>
      </w:pPr>
    </w:p>
    <w:p>
      <w:pPr>
        <w:ind w:left="860" w:hanging="291"/>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U.S. judgment was not granted pursuant to an evasion of Grand Duchy of Luxembourg law (</w:t>
      </w:r>
      <w:r>
        <w:rPr>
          <w:rFonts w:ascii="Arial" w:cs="Arial" w:eastAsia="Arial" w:hAnsi="Arial"/>
          <w:sz w:val="16"/>
          <w:szCs w:val="16"/>
          <w:i w:val="1"/>
          <w:iCs w:val="1"/>
          <w:color w:val="auto"/>
        </w:rPr>
        <w:t>fraude à la loi luxembourgeoise</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Please note that the Grand Duchy of Luxembourg case law is constantly evolving. Some of the conditions of admissibility described above may change, and additional conditions could be required to be fulfilled by the Grand Duchy of Luxembourg courts while other conditions may not be required by Luxembourg courts in the future.</w:t>
      </w:r>
    </w:p>
    <w:p>
      <w:pPr>
        <w:spacing w:after="0" w:line="10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Subject to the conditions described above, courts of the Grandy Duchy of Luxembourg tend not to review the merits of a foreign judgment, although such a review is not statutorily prohibited.</w:t>
      </w:r>
    </w:p>
    <w:p>
      <w:pPr>
        <w:spacing w:after="0" w:line="152"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If an original action is brought in the Grand Duchy of Luxembourg, the Grand Duchy of Luxembourg courts may refuse to apply the law designated and applied in the original action if (i) the choice of such law was not bona fide or if the foreign law was not pleaded or proved or if pleaded and proved, the foreign law was contrary to the Grand Duchy of Luxembourg mandatory provisions (</w:t>
      </w:r>
      <w:r>
        <w:rPr>
          <w:rFonts w:ascii="Arial" w:cs="Arial" w:eastAsia="Arial" w:hAnsi="Arial"/>
          <w:sz w:val="16"/>
          <w:szCs w:val="16"/>
          <w:i w:val="1"/>
          <w:iCs w:val="1"/>
          <w:color w:val="auto"/>
        </w:rPr>
        <w:t>lois impératives</w:t>
      </w:r>
      <w:r>
        <w:rPr>
          <w:rFonts w:ascii="Arial" w:cs="Arial" w:eastAsia="Arial" w:hAnsi="Arial"/>
          <w:sz w:val="16"/>
          <w:szCs w:val="16"/>
          <w:color w:val="auto"/>
        </w:rPr>
        <w:t>) or incompatible with the Grand Duchy of Luxembourg public policy rules, and (ii) its application is manifestly incompatible with the Grand Duchy of Luxembourg international policy rules. In an action brought in the Grand Duchy of Luxembourg on the basis of U.S. federal or state securities laws, the Grand Duchy of Luxembourg courts may not have the requisite power to grant the remedies sought. Also, an exequatur may be refused if it involves punitive damages.</w:t>
      </w:r>
    </w:p>
    <w:p>
      <w:pPr>
        <w:spacing w:after="0" w:line="170"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Litigation in the Grand Duchy of Luxembourg also is subject to rules of procedure that differ from the U.S. rules, including, with respect to the taking and admissibility of evidence, the conduct of the proceedings and the allocation of costs. Proceedings in the Grand Duchy of Luxembourg would in principle have to be conducted in the French or German language, and all documents submitted to the court would, in principle, have to be translated into French or German. For these reasons, it may be difficult for a U.S. investor to bring an original action in a Grand Duchy of Luxembourg court predicated upon the civil liability provisions of the U.S. federal securities laws against us, the members of our Board of Directors, our officers, or the experts named herein. In addition, even if a judgment against us, the non-U.S. members of our Board of Directors, our officers, or the experts named in this annual report based on the civil liability provisions of the U.S. federal securities laws is obtained, a U.S. investor may not be able to enforce it in U.S. or the Grand Duchy of Luxembourg courts.</w:t>
      </w:r>
    </w:p>
    <w:p>
      <w:pPr>
        <w:spacing w:after="0" w:line="156"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Further, in the event of any proceedings being brought in the Grand Duchy of Luxembourg court in respect of a monetary obligation expressed to be payable in a currency other than the Euro, a Grand Duchy of Luxembourg court would have power to give judgment expressed as an order to pay a currency other than the Euro. However, enforcement of the judgment against any party in the Grand Duchy of Luxembourg would be available only in Euros and for such purposes all claims or debts would be converted into Euros.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37" w:name="page38"/>
    <w:bookmarkEnd w:id="37"/>
    <w:p>
      <w:pPr>
        <w:jc w:val="both"/>
        <w:ind w:firstLine="574"/>
        <w:spacing w:after="0" w:line="255" w:lineRule="auto"/>
        <w:rPr>
          <w:sz w:val="20"/>
          <w:szCs w:val="20"/>
          <w:color w:val="auto"/>
        </w:rPr>
      </w:pPr>
      <w:r>
        <w:rPr>
          <w:rFonts w:ascii="Arial" w:cs="Arial" w:eastAsia="Arial" w:hAnsi="Arial"/>
          <w:sz w:val="16"/>
          <w:szCs w:val="16"/>
          <w:color w:val="auto"/>
        </w:rPr>
        <w:t>Our amended and restated articles of association adopted in connection with the Business Combination contain specific indemnification provisions stating that every person who is, or has been, a member of our Board of Directors or officer (</w:t>
      </w:r>
      <w:r>
        <w:rPr>
          <w:rFonts w:ascii="Arial" w:cs="Arial" w:eastAsia="Arial" w:hAnsi="Arial"/>
          <w:sz w:val="16"/>
          <w:szCs w:val="16"/>
          <w:i w:val="1"/>
          <w:iCs w:val="1"/>
          <w:color w:val="auto"/>
        </w:rPr>
        <w:t>mandataire</w:t>
      </w:r>
      <w:r>
        <w:rPr>
          <w:rFonts w:ascii="Arial" w:cs="Arial" w:eastAsia="Arial" w:hAnsi="Arial"/>
          <w:sz w:val="16"/>
          <w:szCs w:val="16"/>
          <w:color w:val="auto"/>
        </w:rPr>
        <w:t>) shall be indemnified by us to the fullest extent permitted by Luxembourg law against liability and against all expenses reasonably incurred or paid by such director or officer in connection with any claim, action, suit or proceeding in which such director or officer becomes involved as a party or otherwise by virtue of his or her being or having been a director or officer and against amounts paid or incurred by him or her in the settlement thereof.</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Luxembourg and European insolvency and bankruptcy laws are substantially different from U.S. insolvency and bankruptcy laws and may offer our shareholders less protection than they would have under U.S. insolvency and bankruptcy laws.</w:t>
      </w:r>
    </w:p>
    <w:p>
      <w:pPr>
        <w:spacing w:after="0" w:line="15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As a company organized under the laws of the Grand Duchy of Luxembourg and with our registered office in the Grand Duchy of Luxembourg, the Company is subject to the Grand Duchy of Luxembourg insolvency and bankruptcy laws in the event any insolvency proceedings are initiated against it including, among other things, Council and European Parliament Regulation (EU) 2015/848 of 20 May 2015 on insolvency proceedings (recast). Should courts in another European country determine that the insolvency and bankruptcy laws of that country apply to us in accordance with and subject to such European Union (“EU”) regulations, the courts in that country could have jurisdiction over the insolvency proceedings initiated against us. Insolvency and bankruptcy laws in the Grand Duchy of Luxembourg or the relevant other European country, if any, may offer our shareholders less protection than they would have under U.S. insolvency and bankruptcy laws and make it more difficult for them to recover the amount they could expect to recover in a liquidation under U.S. insolvency and bankruptcy laws.</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The rights of our shareholders may differ from the rights they would have as shareholders of a United States corporation, which could adversely impact trading in Ordinary Shares and our ability to conduct equity financings.</w:t>
      </w:r>
    </w:p>
    <w:p>
      <w:pPr>
        <w:spacing w:after="0" w:line="152"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Our corporate affairs are governed by the Company’s amended and restated articles of association and the laws of Luxembourg, including the Luxembourg Company Law (</w:t>
      </w:r>
      <w:r>
        <w:rPr>
          <w:rFonts w:ascii="Arial" w:cs="Arial" w:eastAsia="Arial" w:hAnsi="Arial"/>
          <w:sz w:val="15"/>
          <w:szCs w:val="15"/>
          <w:i w:val="1"/>
          <w:iCs w:val="1"/>
          <w:color w:val="auto"/>
        </w:rPr>
        <w:t>loi du 10 août 1915 sur les sociétés commerciales, telle que modifiée</w:t>
      </w:r>
      <w:r>
        <w:rPr>
          <w:rFonts w:ascii="Arial" w:cs="Arial" w:eastAsia="Arial" w:hAnsi="Arial"/>
          <w:sz w:val="15"/>
          <w:szCs w:val="15"/>
          <w:color w:val="auto"/>
        </w:rPr>
        <w:t>). The rights of our shareholders and the responsibilities of our directors and officers under Luxembourg law are different from those applicable to a corporation incorporated in the United States. For example, under Delaware law, the board of directors of a Delaware corporation bears the ultimate responsibility for managing the business and affairs of a corporation. In discharging this function, directors of a Delaware corporation owe fiduciary duties of care and loyalty to the corporation and its shareholders. Luxembourg law imposes a duty on directors of a Luxembourg company to: (i) act in good faith with a view to the best interests of a company; and (ii) exercise the care, diligence, and skill that a reasonably prudent person would exercise in a similar position and under comparable circumstances. Additionally, under Delaware law, a shareholder may bring a derivative action on behalf of a company to enforce a company’s rights. Under Luxembourg law, the board of directors has sole authority to decide whether to initiate legal action to enforce a company’s rights (other than, in certain circumstances, an action against members of the board of directors, which may be initiated by the general meeting of the shareholders, or, subject to certain conditions, by minority shareholders holding together at least 10% of the voting rights in the company). Further, under Luxembourg law, there may be less publicly available information about us than is regularly published by or about U.S. issuers. In addition, Luxembourg laws governing the securities of Luxembourg companies may not be as extensive as those in effect in the United States, and Luxembourg laws and regulations in respect of corporate governance matters might not be as protective of minority shareholders as are state corporation laws in the United States. Therefore, our shareholders may have more difficulty in protecting their interests in connection with actions taken by our directors, officers or principal shareholders than they would as shareholders of a corporation incorporated in the United States. As a result of these differences, our shareholders may have more difficulty protecting their interests than they would as shareholders of a U.S. issuer.</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Non-Luxembourg resident holders of Ordinary Shares could be subject to adverse Grand Duchy of Luxembourg income tax consequences.</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The tax position of the holders of Ordinary Shares may vary according to their particular financial and tax situation. Our tax structuring and/or our investments may not be tax-efficient for a particular prospective holder of Ordinary Shares. No assurances can be given that amounts distributed or allocated to the holders of Ordinary Shares will have any particular characteristics or that any specific tax treatment will apply. Furthermore, no assurances can be given that any particular investment structure in which we have a direct or indirect interest will be suitable for all holders of Ordinary Shares and, in certain circumstances, such structures may lead to additional costs or reporting obligations for some or all of the holders of Ordinary Shares.</w:t>
      </w:r>
    </w:p>
    <w:p>
      <w:pPr>
        <w:spacing w:after="0" w:line="17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Non-Luxembourg resident holders of Ordinary Shares that have neither a permanent establishment nor a permanent representative in the Grand Duchy of Luxembourg to which or whom the Ordinary Shares are attributable, are generally not subject to any income tax in the Grand Duchy of Luxembourg on gains realized upon the sale, repurchase or redemption of the Ordinary Shares.</w:t>
      </w:r>
    </w:p>
    <w:p>
      <w:pPr>
        <w:spacing w:after="0" w:line="162"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Non-Luxembourg resident holders of Ordinary Shares will only be subject to the Grand Duchy of Luxembourg income tax on capital gains in the event they hold a substantial participation in us (i.e. more than 10% of our issued shares, either alone or together with certain close relatives, at any time during the five-year period preceding the disposition of Ordinary Shares) and (a) the disposition of Ordinary Shares (including liquidation) takes place within six months after acquisition or (b) in case of a disposition of Ordinary Shares after six months or more, such holder had been a Grand Duchy of Luxembourg resident taxpayer for more than fifteen years and has become a non-Luxembourg taxpayer less than five years before the disposition of Ordinary Shares occurs. Nevertheless, holders should consult their own tax advisors to determine which double tax treaties concluded by the Grand Duchy of Luxembourg, if any, apply in order to determine which state (residency state or the Grand Duchy of Luxembourg) has the right to tax any such capital gains.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auto"/>
        </w:rPr>
        <w:t>U.S. Tax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a United States person is treated as owning at least 10% of our shares, such person may be subject to adverse U.S. federal income tax consequences.</w:t>
      </w:r>
    </w:p>
    <w:p>
      <w:pPr>
        <w:spacing w:after="0" w:line="210"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If a United States person is treated as owning (directly, indirectly or constructively) at least 10% of the value or voting power of our shares, such person may be treated as a “United States shareholder” with respect to us. If United States shareholders own more than 50% of the value or voting power of our shares, then we will be considered a controlled foreign corporation. Additionally, as a result of complex attribution rules, a direct or indirect subsidiary of us may be considered a “controlled foreign corporation” and a United States shareholder may be subject to the controlled foreign corporation rules with respect to such subsidiary even if we ourselves are not a controlled foreign corporation.</w:t>
      </w:r>
    </w:p>
    <w:p>
      <w:pPr>
        <w:spacing w:after="0" w:line="170"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A United States shareholder of a controlled foreign corporation may be required to report annually and include in its U.S. taxable income its pro rata share of the controlled foreign corporation’s “Subpart F income” and (in computing its “global intangible low-taxed income”) “tested income” and a pro rata share of the amount of U.S. property (including certain stock in U.S. corporations and certain tangible assets located in the United States) held by the controlled foreign corporation regardless of whether such controlled foreign corporation makes any distributions. Failure to comply with these reporting obligations (or related tax payment obligations) may subject such United States shareholder to significant monetary penalties and may prevent the statute of limitations with respect to such United States shareholder’s U.S. federal income tax return for the year for which reporting (or payment of tax) was due from starting.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it will assist holders in determining whether it, or any of our non-U.S. subsidiaries, are treated as a controlled foreign corporation or whether any holder is treated as a United States shareholder with respect to any of such controlled foreign corporations or furnish to any holder information that may be necessary to comply with reporting and tax paying obligations.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ITEM 4. COMPANY INFORMATION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Company makes its filings in electronic form under the EDGAR filing system of the SEC. Its filings are available through the EDGAR system at www.sec.gov.</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filings are also available to the public through the Internet at Procaps’s website at https://www.procapsgroup.com/home.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HISTORY AND DEVELOPMENT OF THE COMPANY</w:t>
      </w:r>
    </w:p>
    <w:p>
      <w:pPr>
        <w:spacing w:after="0" w:line="20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The Company was incorporated under the laws of the Grand Duchy of Luxembourg on March 29, 2021 as a public limited liability company (</w:t>
      </w:r>
      <w:r>
        <w:rPr>
          <w:rFonts w:ascii="Arial" w:cs="Arial" w:eastAsia="Arial" w:hAnsi="Arial"/>
          <w:sz w:val="16"/>
          <w:szCs w:val="16"/>
          <w:i w:val="1"/>
          <w:iCs w:val="1"/>
          <w:color w:val="auto"/>
        </w:rPr>
        <w:t>société anonyme</w:t>
      </w:r>
      <w:r>
        <w:rPr>
          <w:rFonts w:ascii="Arial" w:cs="Arial" w:eastAsia="Arial" w:hAnsi="Arial"/>
          <w:sz w:val="16"/>
          <w:szCs w:val="16"/>
          <w:color w:val="auto"/>
        </w:rPr>
        <w:t>) governed by the laws of the Grand Duchy of Luxembourg for an unlimited duration and registered with the Luxembourg Trade and Companies’ Register (</w:t>
      </w:r>
      <w:r>
        <w:rPr>
          <w:rFonts w:ascii="Arial" w:cs="Arial" w:eastAsia="Arial" w:hAnsi="Arial"/>
          <w:sz w:val="16"/>
          <w:szCs w:val="16"/>
          <w:i w:val="1"/>
          <w:iCs w:val="1"/>
          <w:color w:val="auto"/>
        </w:rPr>
        <w:t>Registre de</w:t>
      </w:r>
      <w:r>
        <w:rPr>
          <w:rFonts w:ascii="Arial" w:cs="Arial" w:eastAsia="Arial" w:hAnsi="Arial"/>
          <w:sz w:val="16"/>
          <w:szCs w:val="16"/>
          <w:color w:val="auto"/>
        </w:rPr>
        <w:t xml:space="preserve"> </w:t>
      </w:r>
      <w:r>
        <w:rPr>
          <w:rFonts w:ascii="Arial" w:cs="Arial" w:eastAsia="Arial" w:hAnsi="Arial"/>
          <w:sz w:val="16"/>
          <w:szCs w:val="16"/>
          <w:i w:val="1"/>
          <w:iCs w:val="1"/>
          <w:color w:val="auto"/>
        </w:rPr>
        <w:t>Commerce et des Sociétés, Luxembourg</w:t>
      </w:r>
      <w:r>
        <w:rPr>
          <w:rFonts w:ascii="Arial" w:cs="Arial" w:eastAsia="Arial" w:hAnsi="Arial"/>
          <w:sz w:val="16"/>
          <w:szCs w:val="16"/>
          <w:color w:val="auto"/>
        </w:rPr>
        <w:t>) under number B 253360. The Company was incorporated solely for the purpose of effectuating the Business Combination, which was</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consummated on September 29, 2021. The Company owned no material assets other than its interests in Crynssen acquired in the Business Combination and did not operate any business. Crynssen is a private limited liability company registered and incorporated under the laws of Malta and, particularly, the Companies Act Cap. 386. See Item 5 under the heading “Operating and Financial Review and Prospects” for a discussion of our principal capital expenditures and divestitures for the years ended December 31, 2021, 2020 and 2019.</w:t>
      </w:r>
    </w:p>
    <w:p>
      <w:pPr>
        <w:spacing w:after="0" w:line="17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Company’s mailing address and registered office is 9, rue de Bitbourg, L-1273 Luxembourg, Grand Duchy of Luxembourg, and its telephone number is +356 7995-6138. The Company’s principal website address is https://www.procapsgroup.com. The information contained on, or accessible through, the Company’s websites is not incorporated by reference into this annual report, and you should not consider it a part of this annual report.</w:t>
      </w:r>
    </w:p>
    <w:p>
      <w:pPr>
        <w:spacing w:after="0" w:line="16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reporting and “short-swing” profit recovery provisions contained in Section 16 of the Exchange Act with respect to their purchase and sale of Ordinary Shares.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The SEC also maintains a website at http://www.sec.gov that contains reports and other information that the Company files with or furnishes electronically to the SEC.</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Business Combination</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September 29, 2021, the Business Combination was consummated. As part of the Business Combination, on the Closing Date, pursuant to the Business Combination Agreement:</w:t>
      </w:r>
    </w:p>
    <w:p>
      <w:pPr>
        <w:spacing w:after="0" w:line="152" w:lineRule="exact"/>
        <w:rPr>
          <w:sz w:val="20"/>
          <w:szCs w:val="20"/>
          <w:color w:val="auto"/>
        </w:rPr>
      </w:pPr>
    </w:p>
    <w:p>
      <w:pPr>
        <w:jc w:val="both"/>
        <w:ind w:left="860" w:hanging="291"/>
        <w:spacing w:after="0" w:line="306" w:lineRule="auto"/>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Merger Sub merged with and into SPAC, with SPAC surviving such merger and becoming a direct wholly-owned subsidiary of the Company and, in the context of the Merger, (a) all SPAC Ordinary Shares outstanding were exchanged with for Ordinary Shares pursuant to a share capital increase, (b) each SPAC Warrant became a Warrant exercisable for Ordinary Shares, on substantially the same terms as the SPAC Warrants, and (c) the Company entered into the Warrant Amendment to amend and assume SPAC’s obligations under the SPAC Warrant Agreement to give effect to the conversion of SPAC Warrants to Warrants;</w:t>
      </w:r>
    </w:p>
    <w:p>
      <w:pPr>
        <w:spacing w:after="0" w:line="134" w:lineRule="exact"/>
        <w:rPr>
          <w:rFonts w:ascii="Arial" w:cs="Arial" w:eastAsia="Arial" w:hAnsi="Arial"/>
          <w:sz w:val="14"/>
          <w:szCs w:val="14"/>
          <w:color w:val="auto"/>
        </w:rPr>
      </w:pPr>
    </w:p>
    <w:p>
      <w:pPr>
        <w:ind w:left="860" w:right="20" w:hanging="291"/>
        <w:spacing w:after="0" w:line="275"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immediately following the consummation of the Merger and prior to the Exchange (as defined below), the Company redeemed all 4,000,000 Redeemable A Shares held by Crynssen for a total purchase price of $40,000 (corresponding to their nominal value of $0.01 per share);</w:t>
      </w:r>
    </w:p>
    <w:p>
      <w:pPr>
        <w:spacing w:after="0" w:line="151" w:lineRule="exact"/>
        <w:rPr>
          <w:rFonts w:ascii="Arial" w:cs="Arial" w:eastAsia="Arial" w:hAnsi="Arial"/>
          <w:sz w:val="16"/>
          <w:szCs w:val="16"/>
          <w:color w:val="auto"/>
        </w:rPr>
      </w:pPr>
    </w:p>
    <w:p>
      <w:pPr>
        <w:jc w:val="both"/>
        <w:ind w:left="860" w:right="20" w:hanging="291"/>
        <w:spacing w:after="0" w:line="301" w:lineRule="auto"/>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immediately following the consummation of the Merger and the redemption of all the Redeemable A Shares, pursuant to those certain individual contribution and exchange agreements, each dated as of March 31, 2021, as amended, and entered into by and among the Company, Crynssen and each of the Crynssen Shareholders, each of the Crynssen Shareholders, contributed its respective Crynssen Ordinary Shares to the Company in exchange for Ordinary Shares, and, in the case of IFC, for Ordinary Shares and 4,500,000 Redeemable B Shares, which were subscribed for by each such Crynssen Shareholder (such contributions and exchanges of Crynssen Ordinary Shares for Ordinary Shares and, in the case of IFC, Ordinary Shares and Redeemable B Shares, collectively, the “Exchange”);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40" w:name="page41"/>
    <w:bookmarkEnd w:id="40"/>
    <w:p>
      <w:pPr>
        <w:ind w:left="860" w:right="20" w:hanging="291"/>
        <w:spacing w:after="0" w:line="275"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a result of the Exchange, Crynssen became a direct wholly-owned subsidiary of the Company and the Crynssen Shareholders became holders of issued and outstanding Ordinary Shares and, in the case of IFC, Ordinary Shares and Redeemable B Shares; and</w:t>
      </w:r>
    </w:p>
    <w:p>
      <w:pPr>
        <w:spacing w:after="0" w:line="151" w:lineRule="exact"/>
        <w:rPr>
          <w:rFonts w:ascii="Arial" w:cs="Arial" w:eastAsia="Arial" w:hAnsi="Arial"/>
          <w:sz w:val="16"/>
          <w:szCs w:val="16"/>
          <w:color w:val="auto"/>
        </w:rPr>
      </w:pPr>
    </w:p>
    <w:p>
      <w:pPr>
        <w:ind w:left="860" w:hanging="291"/>
        <w:spacing w:after="0" w:line="275"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immediately following the Exchange, the Company redeemed 4,500,000 Redeemable B Shares from IFC for a total purchase price of $45,000,000 (corresponding to a purchase price of $10.00 per Redeemable B Share) in accordance with the IFC Redemption Agreement.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Agreements Related to the Business Combination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Registration Rights and Lock-Up Agreement</w:t>
      </w:r>
    </w:p>
    <w:p>
      <w:pPr>
        <w:spacing w:after="0" w:line="198"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In connection with the Closing of the Business Combination, Crynssen, the Sponsors, certain other persons and entities (“Original Holders”) holding SPAC Ordinary Shares issued by Union prior to its IPO (the “Founder Shares”) and the Crynssen Shareholders entered into the Registration Rights and Lock-Up Agreement which provides customary demand and piggyback registration rights. Additionally, the Ordinary Shares held by the Sponsors and the Original Holders which were previously Founder Shares will be locked-up until the earliest of: (i) the date that is one year from the Closing Date, (ii) the date on which the closing price of the Ordinary Shares on the Nasdaq equals or exceeds $12.50 per Ordinary Share for any 20 trading days within any 30-trading day period commencing 150 days after the Closing Date, or (iii) such date on which we complete a liquidation, merger, share exchange or other similar transaction that results in all of our shareholders having the right to exchange their Ordinary Shares for cash, securities or other property.</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Ordinary Shares held by the Crynssen Shareholders were also subject to a lock-up which has expired.</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The Ordinary Shares and Warrants began trading on the Nasdaq Global Market under the ticker symbol “PROC” and “PROCW”, respectively, on September 30, 2021. A copy of the Business Combination Agreement is included as Exhibit 4.1 to this annual report and the amendment to the Business Combination Agreement, which is included as Exhibit 4.2 to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Assignment, Assumption and Amendment Agreement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the Closing Date, the Company entered into the Warrant Amendment to amend and assume Union’s obligations under the existing Warrant Agreement to give effect to the conversion of SPAC Warrants to Warrants.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Nomination Agreement</w:t>
      </w:r>
    </w:p>
    <w:p>
      <w:pPr>
        <w:spacing w:after="0" w:line="198"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On the Closing Date, the Company, the Sponsors, certain Original Holders and certain Crynssen Shareholders entered into the Nomination Agreement pursuant to which, in connection with any general meeting at which the Company’s directors are to be elected, or any adjournment or postponement thereof, Deseja, Sognatore and Simphony (collectively, the “Minski Family Shareholders”) shall collectively have the right to propose for appointment a number of directors that equals a majority of our Board of Directors (each, a “Majority Shareholder Director”). For as long as Hoche Partners Pharma Holding S.A. (“Hoche”) owns no less than 7% of the Company’s issued and outstanding share capital, Hoche shall have the right to propose for appointment one director (such director, the “Hoche Shareholder Director” and collectively with the Majority Shareholder Directors, each a “Shareholder Director” and collectively, the “Shareholder Directors”). On the Closing and until the one-year anniversary of the preceding annual general shareholders’ meeting of the Company, Alejandro Weinstein shall be the Hoche Shareholder Director. In connection with our first two consecutive general shareholders’ meetings following September 1, 2021 at which directors are to be elected, or any adjournment or postponement thereof, the Sponsors shall have the right to propose for appointment Daniel W. Fink and Kyle P. Bransfield as directors of our Board of Directors. At least one-half of the Shareholder Directors must qualify as independent directors (“Independent Directors”) under applicable stock exchange rules, subject to any independence requirements established by the listing rules of the stock exchange on which the Ordinary Shares are listed that would require a greater number of Shareholder Directors to qualify as Independent Directors, provided that the Minski Family Shareholders will not be required to nominate any additional Independent Directors unless and until all of the directors, other than the Majority Shareholder Directors, qualify as Independent Directors. In addition, for so long as we maintain any committee, such committees shall each include at least one Majority Shareholder Director so long as he or she is independent. The Nomination Agreement will automatically terminate upon the earlier of (i) the date on which the Minski Family Shareholders or their affiliates cease to beneficially own, in the aggregate, 30% of our outstanding shares and (ii) 20 years from the date of the Nomination Agreement.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Forfeiture Agreement</w:t>
      </w:r>
    </w:p>
    <w:p>
      <w:pPr>
        <w:spacing w:after="0" w:line="198"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On the Closing Date, the Sponsors entered into a share forfeiture agreement by and among the Sponsors, the Company, Crynssen and Union (the “Share Forfeiture Agreement”), pursuant to which, the Sponsors forfeited a combined 700,000 SPAC Ordinary Shares prior to the consummation of the Business Combination.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41" w:name="page42"/>
    <w:bookmarkEnd w:id="41"/>
    <w:p>
      <w:pPr>
        <w:ind w:left="4"/>
        <w:spacing w:after="0"/>
        <w:rPr>
          <w:sz w:val="20"/>
          <w:szCs w:val="20"/>
          <w:color w:val="auto"/>
        </w:rPr>
      </w:pPr>
      <w:r>
        <w:rPr>
          <w:rFonts w:ascii="Arial" w:cs="Arial" w:eastAsia="Arial" w:hAnsi="Arial"/>
          <w:sz w:val="16"/>
          <w:szCs w:val="16"/>
          <w:b w:val="1"/>
          <w:bCs w:val="1"/>
          <w:color w:val="auto"/>
        </w:rPr>
        <w:t>Senior Notes Offering</w:t>
      </w:r>
    </w:p>
    <w:p>
      <w:pPr>
        <w:spacing w:after="0" w:line="202"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color w:val="auto"/>
        </w:rPr>
        <w:t>On November 12, 2021, we closed a private placement offering of $115 million aggregate principal amount of 4.75% guaranteed senior notes (the “Senior Notes”) issued by Procaps, S.A., our subsidiary, due November 12, 2031, pursuant to a note purchase agreement entered into on November 5, 2021 with The Prudential Insurance Company of America, Prudential Annuities Life Assurance Corporation, Healthspring Life &amp; Health Insurance Company, Inc. and Cigna Health and Life Insurance Company Inc. The Senior Notes are the senior unsecured obligations of Procaps, S.A. and unconditionally guaranteed by the Company and the following subsidiaries: Crynssen Pharma Group Limited, C.I. Procaps, S.A., Diabetrics Healthcare S.A.S., Pharmayect S.A., Procaps, S.A. de C.V., Biokemical, S.A. de C.V., Colbras Indústria e Comércio Ltda., and Sofgen Pharmaceuticals LLC.</w:t>
      </w:r>
    </w:p>
    <w:p>
      <w:pPr>
        <w:spacing w:after="0" w:line="170"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color w:val="auto"/>
        </w:rPr>
        <w:t>The Senior Notes were issued in a single tranche, with a final maturity of 10 years and a principal amortization schedule of five annual equal payments commencing on the sixth anniversary of the closing (</w:t>
      </w:r>
      <w:r>
        <w:rPr>
          <w:rFonts w:ascii="Arial" w:cs="Arial" w:eastAsia="Arial" w:hAnsi="Arial"/>
          <w:sz w:val="16"/>
          <w:szCs w:val="16"/>
          <w:i w:val="1"/>
          <w:iCs w:val="1"/>
          <w:color w:val="auto"/>
        </w:rPr>
        <w:t>i.e.</w:t>
      </w:r>
      <w:r>
        <w:rPr>
          <w:rFonts w:ascii="Arial" w:cs="Arial" w:eastAsia="Arial" w:hAnsi="Arial"/>
          <w:sz w:val="16"/>
          <w:szCs w:val="16"/>
          <w:color w:val="auto"/>
        </w:rPr>
        <w:t xml:space="preserve"> years 6 to 10), resulting in a weighted average life of 8 years. Procaps, S.A. used the net proceeds from the issuance of the Senior Notes primarily to repay certain of its and its subsidiaries existing indebtedness in full, as well as for general corporate purposes. The Senior Notes also contain change-of-control provisions and certain customary affirmative and negative covenants and events of default. In addition, the Senior Notes require Procaps, S.A., the Company and the other obligors thereunder to comply with certain financial ratios. For more information on the Senior Notes, see Item 5.B under the heading “Liquidity and Capital Resources ––Debt Financing and Borrowing ––Senior Notes” in this annual report.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 BUSINESS OVERVIEW</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Overview:</w:t>
      </w:r>
    </w:p>
    <w:p>
      <w:pPr>
        <w:spacing w:after="0" w:line="202"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Founded in 1977 by the Minski family, we are a leading integrated international healthcare and pharmaceutical company that develops pharmaceutical and nutraceutical solutions, medicines and hospital supplies. Our customers are located in over 50 countries, in six out of the seven continents, and we have a direct presence in 13 countries in the Americas and over 4,900 employees working under our sustainable model. We develop, manufacture and market OTC and Rx pharmaceutical products, nutritional supplements and clinical solutions.</w:t>
      </w:r>
    </w:p>
    <w:p>
      <w:pPr>
        <w:spacing w:after="0" w:line="165" w:lineRule="exact"/>
        <w:rPr>
          <w:sz w:val="20"/>
          <w:szCs w:val="20"/>
          <w:color w:val="auto"/>
        </w:rPr>
      </w:pPr>
    </w:p>
    <w:p>
      <w:pPr>
        <w:jc w:val="both"/>
        <w:ind w:left="4" w:firstLine="574"/>
        <w:spacing w:after="0" w:line="290" w:lineRule="auto"/>
        <w:rPr>
          <w:sz w:val="20"/>
          <w:szCs w:val="20"/>
          <w:color w:val="auto"/>
        </w:rPr>
      </w:pPr>
      <w:r>
        <w:rPr>
          <w:rFonts w:ascii="Arial" w:cs="Arial" w:eastAsia="Arial" w:hAnsi="Arial"/>
          <w:sz w:val="14"/>
          <w:szCs w:val="14"/>
          <w:color w:val="auto"/>
        </w:rPr>
        <w:t>Our business model focuses on four strategic cornerstones to drive growth. First, we have state-of-the-art manufacturing capabilities that allow us to provide innovative delivery technologies. Our corporate culture focuses on innovation and R&amp;D, which has enabled us to offer extensive scientific expertise with more than 305 scientists, technicians and skilled personnel and over 500 formulations as of December 31, 2021, allowing us to develop an average of over 150 new products, including more than 50 first time launch products, per year over the last three years. Second, our regional footprint and vertical integration enables organic growth opportunities and synergies. We currently operate six manufacturing facilities in Latin America, including the first FDA-approved pharmaceutical plant in South America and Central America, and sell and distribute products to over fifty distinct markets. Additionally, on December 31, 2021, we acquired an FDA approved 86,000 square feet pharmaceutical production facility located in West Palm Beach, Florida from Strides Pharma, Inc., our first US-based Softgel production facility and R&amp;D center, which is expected to begin operations in May, 2022. Third, our Rx and OTC pharmaceutical product portfolio is driven by our proprietary delivery systems, allowing us to focus on the development and sale of high-growth and premium pharmaceutical products which we believe are subject to less pricing pressures when compared to more generic pharmaceutical products. Finally, we have an extensive track record of developing new businesses and growing via mergers and acquisitions, which is evidenced by the development of one of our in-house business incubation, Diabetrics, which took place in 2015, and several successful acquisitions throughout Latin America (including the acquisitions of Rymco S.A., Laboratorios Lopez and Biokemical S.A. de C.V.) which took place between 2012 and 2016. On September 29, 2021, we consummated the Business Combination with Union, which resulted in our Ordinary Shares and warrants being listed on the Nasdaq Global Market on September 30, 2021 under the symbols “PROC” and “PROCW”, respectively.</w:t>
      </w:r>
    </w:p>
    <w:p>
      <w:pPr>
        <w:spacing w:after="0" w:line="148" w:lineRule="exact"/>
        <w:rPr>
          <w:sz w:val="20"/>
          <w:szCs w:val="20"/>
          <w:color w:val="auto"/>
        </w:rPr>
      </w:pPr>
    </w:p>
    <w:p>
      <w:pPr>
        <w:ind w:left="564"/>
        <w:spacing w:after="0"/>
        <w:rPr>
          <w:sz w:val="20"/>
          <w:szCs w:val="20"/>
          <w:color w:val="auto"/>
        </w:rPr>
      </w:pPr>
      <w:r>
        <w:rPr>
          <w:rFonts w:ascii="Arial" w:cs="Arial" w:eastAsia="Arial" w:hAnsi="Arial"/>
          <w:sz w:val="15"/>
          <w:szCs w:val="15"/>
          <w:color w:val="auto"/>
        </w:rPr>
        <w:t>We are primarily engaged in developing, producing and marketing pharmaceutical solutions consisting of the following four products and services categories:</w:t>
      </w:r>
    </w:p>
    <w:p>
      <w:pPr>
        <w:spacing w:after="0" w:line="31" w:lineRule="exact"/>
        <w:rPr>
          <w:sz w:val="20"/>
          <w:szCs w:val="20"/>
          <w:color w:val="auto"/>
        </w:rPr>
      </w:pPr>
    </w:p>
    <w:p>
      <w:pPr>
        <w:ind w:left="5544" w:right="1920" w:hanging="5544"/>
        <w:spacing w:after="0" w:line="757" w:lineRule="auto"/>
        <w:tabs>
          <w:tab w:leader="none" w:pos="186" w:val="left"/>
        </w:tabs>
        <w:numPr>
          <w:ilvl w:val="0"/>
          <w:numId w:val="19"/>
        </w:numPr>
        <w:rPr>
          <w:rFonts w:ascii="Arial" w:cs="Arial" w:eastAsia="Arial" w:hAnsi="Arial"/>
          <w:sz w:val="16"/>
          <w:szCs w:val="16"/>
          <w:color w:val="auto"/>
        </w:rPr>
      </w:pPr>
      <w:r>
        <w:rPr>
          <w:rFonts w:ascii="Arial" w:cs="Arial" w:eastAsia="Arial" w:hAnsi="Arial"/>
          <w:sz w:val="16"/>
          <w:szCs w:val="16"/>
          <w:color w:val="auto"/>
        </w:rPr>
        <w:t>iCDMO, (ii) Rx pharmaceutical products, (iii) OTC products, and (iv) Diabetrics. For more information, see “— Products and Services” below.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Our Strengths and Competitive Advantages</w:t>
      </w:r>
    </w:p>
    <w:p>
      <w:pPr>
        <w:spacing w:after="0" w:line="20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b w:val="1"/>
          <w:bCs w:val="1"/>
          <w:i w:val="1"/>
          <w:iCs w:val="1"/>
          <w:color w:val="auto"/>
        </w:rPr>
        <w:t xml:space="preserve">Innovation in Delivery Systems. </w:t>
      </w:r>
      <w:r>
        <w:rPr>
          <w:rFonts w:ascii="Arial" w:cs="Arial" w:eastAsia="Arial" w:hAnsi="Arial"/>
          <w:sz w:val="15"/>
          <w:szCs w:val="15"/>
          <w:color w:val="auto"/>
        </w:rPr>
        <w:t>We are one of the leading global providers of advanced delivery technologies and development and manufacturing solutions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pharmaceutical and consumer health products. In particular, we are the number one Softgel manufacturer in South and Central America and top five in the world in terms of Softgel production capacity, according to an independent third-party industry analysis report. We have extensive expertise in developing and manufacturing Softgel capsules and related dosage forms as evidenced by our development of over 500 pharmaceutical products formulations as of December 31, 2021, resulting in the development of an average of over 150 new products, including more than 50 first time launch products per year over the last three years. Furthermore, as of December 31, 2021, we have been granted 39 patents and have 38 patents pending approval. Our innovative oral delivery mechanisms allow us to transform branded generics into differentiated products for the pharmaceutical market. For more information, see “–– Research and Development” and “–– Intellectual Property” below.</w:t>
      </w:r>
    </w:p>
    <w:p>
      <w:pPr>
        <w:spacing w:after="0" w:line="156"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b w:val="1"/>
          <w:bCs w:val="1"/>
          <w:i w:val="1"/>
          <w:iCs w:val="1"/>
          <w:color w:val="auto"/>
        </w:rPr>
        <w:t xml:space="preserve">Flexibility &amp; Adaptability. </w:t>
      </w:r>
      <w:r>
        <w:rPr>
          <w:rFonts w:ascii="Arial" w:cs="Arial" w:eastAsia="Arial" w:hAnsi="Arial"/>
          <w:sz w:val="15"/>
          <w:szCs w:val="15"/>
          <w:color w:val="auto"/>
        </w:rPr>
        <w:t>Our NextGel business segment’s Softigel iCDMO platform provides an extensive set of solutions designed to serve our clients’ unique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needs, with the goal of ultimately improving product time to market, which is primarily accomplished through our ability to adapt to a diverse set of customer business structures and our experience servicing different markets. For more information, see “–– Products and Services –– iCDMO––NextGel (Sofitgel band)” below.</w:t>
      </w:r>
    </w:p>
    <w:p>
      <w:pPr>
        <w:spacing w:after="0" w:line="146"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b w:val="1"/>
          <w:bCs w:val="1"/>
          <w:i w:val="1"/>
          <w:iCs w:val="1"/>
          <w:color w:val="auto"/>
        </w:rPr>
        <w:t xml:space="preserve">Cost Competitiveness. </w:t>
      </w:r>
      <w:r>
        <w:rPr>
          <w:rFonts w:ascii="Arial" w:cs="Arial" w:eastAsia="Arial" w:hAnsi="Arial"/>
          <w:sz w:val="16"/>
          <w:szCs w:val="16"/>
          <w:color w:val="auto"/>
        </w:rPr>
        <w:t>We are able to maintain a competitive price and cost structure due to a combination of the geographic location of our facilities, our expertise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R&amp;D, our skilled labor force, our ability to manufacture in-house several of the equipment used in the production of Softgel and the flexible nature of our equipment. These factors allow us to produce a wide variety of products, and our ability to purchase raw materials at scale. For more information, see “–– Manufacturing and Distribution”, “–– Raw Materials and Material Sourcing”, and “–– Research and Development” below.</w:t>
      </w:r>
    </w:p>
    <w:p>
      <w:pPr>
        <w:spacing w:after="0" w:line="16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b w:val="1"/>
          <w:bCs w:val="1"/>
          <w:i w:val="1"/>
          <w:iCs w:val="1"/>
          <w:color w:val="auto"/>
        </w:rPr>
        <w:t xml:space="preserve">Specialized Facilities. </w:t>
      </w:r>
      <w:r>
        <w:rPr>
          <w:rFonts w:ascii="Arial" w:cs="Arial" w:eastAsia="Arial" w:hAnsi="Arial"/>
          <w:sz w:val="16"/>
          <w:szCs w:val="16"/>
          <w:color w:val="auto"/>
        </w:rPr>
        <w:t>Our state-of-the-art facilities are segregated and highly adaptable, enabling Procaps to undertake the manufacturing of highly complex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Our manufacturing facilities include the first FDA-approved Rx pharmaceutical plant in South and Central America and one of only five hormonal Softgel plants in the world. Additionally, our manufacturing facilities are certified, where required, by several regulatory entities including the FDA, Health Canada, the MHRA, the TGA, Cofepris and ISO. For more information, see “–– Manufacturing and Distribution — Manufacturing Facilities” below.</w:t>
      </w:r>
    </w:p>
    <w:p>
      <w:pPr>
        <w:spacing w:after="0" w:line="165" w:lineRule="exact"/>
        <w:rPr>
          <w:sz w:val="20"/>
          <w:szCs w:val="20"/>
          <w:color w:val="auto"/>
        </w:rPr>
      </w:pPr>
    </w:p>
    <w:p>
      <w:pPr>
        <w:jc w:val="both"/>
        <w:ind w:firstLine="574"/>
        <w:spacing w:after="0" w:line="349" w:lineRule="auto"/>
        <w:rPr>
          <w:sz w:val="20"/>
          <w:szCs w:val="20"/>
          <w:color w:val="auto"/>
        </w:rPr>
      </w:pPr>
      <w:r>
        <w:rPr>
          <w:rFonts w:ascii="Arial" w:cs="Arial" w:eastAsia="Arial" w:hAnsi="Arial"/>
          <w:sz w:val="14"/>
          <w:szCs w:val="14"/>
          <w:b w:val="1"/>
          <w:bCs w:val="1"/>
          <w:i w:val="1"/>
          <w:iCs w:val="1"/>
          <w:color w:val="auto"/>
        </w:rPr>
        <w:t xml:space="preserve">Integration into Clients’ Value Chain. </w:t>
      </w:r>
      <w:r>
        <w:rPr>
          <w:rFonts w:ascii="Arial" w:cs="Arial" w:eastAsia="Arial" w:hAnsi="Arial"/>
          <w:sz w:val="14"/>
          <w:szCs w:val="14"/>
          <w:color w:val="auto"/>
        </w:rPr>
        <w:t>We strive to be part of our customers’ value chain by adapting to their logistics’ processes by adopting and integrating with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customers’ manufacturing resource planning software and other processes. For more information, see “— Manufacturing and Distribution — Distribution and Logistics” below.</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0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The consequences from the COVID-19 pandemic have continued to affect Latin America through 2021, including the pharmaceutical industry. We believe pharmaceutical companies which offered positive solutions to consumer demands during the COVID-19 pandemic continue to thrive in both local and regional markets. The personal physician workforce has begun to return to work after periods of quarantine, resulting in an increased demand for Rx drugs during the year ended December 31, 2021, in particular for those related to chronic and certain acute therapies. Sales of COVID-19 related products declined to pre-pandemic levels during 2021, and other sales of non-COVID-19 related products increased during the year ended December 31, 2021, such as OTC pharmaceutical products. Although supplements and analgesics continued to thrive, OTC products such as Vitamin C, Vitamin D, Zinc, Ibuprofen, and Paracetamol have experienced a decline in sales.</w:t>
      </w:r>
    </w:p>
    <w:p>
      <w:pPr>
        <w:spacing w:after="0" w:line="157"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In-person physician consultations have returned to pre-pandemic levels during 2021, with much focus on medical training. In-person meetings and events involving physician groups and associations began in Colombia during the first half of 2021 through in-person medical events, allowing us to exhibit our brands more effectively. These events were primarily initiated regionally but have an international presence. Nonetheless, continuous efforts to deploy new technologies such as tele-health and other innovative technological solutions are a priority, for enabling open and better ways of communication between patients and doctors.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43" w:name="page44"/>
    <w:bookmarkEnd w:id="43"/>
    <w:p>
      <w:pPr>
        <w:jc w:val="both"/>
        <w:ind w:left="4" w:right="20" w:firstLine="574"/>
        <w:spacing w:after="0" w:line="258" w:lineRule="auto"/>
        <w:rPr>
          <w:sz w:val="20"/>
          <w:szCs w:val="20"/>
          <w:color w:val="auto"/>
        </w:rPr>
      </w:pPr>
      <w:r>
        <w:rPr>
          <w:rFonts w:ascii="Arial" w:cs="Arial" w:eastAsia="Arial" w:hAnsi="Arial"/>
          <w:sz w:val="16"/>
          <w:szCs w:val="16"/>
          <w:color w:val="auto"/>
        </w:rPr>
        <w:t>Despite these challenges, we believe our ability to respond to the changes in consumer demand during the COVID-19 pandemic and its aftermath, efforts to maintain close communications with physicians, and our reinforcement of key brands has allowed us to increase our market share of certain Farma Procaps and Colmed OTC products during 2021 in terms of total sales within product category. This increase in market share has been primarily driven by the growth in Rx products sales, and Procaps having outperformed its competitors in terms of OTC product sales.</w:t>
      </w:r>
    </w:p>
    <w:p>
      <w:pPr>
        <w:spacing w:after="0" w:line="165" w:lineRule="exact"/>
        <w:rPr>
          <w:sz w:val="20"/>
          <w:szCs w:val="20"/>
          <w:color w:val="auto"/>
        </w:rPr>
      </w:pPr>
    </w:p>
    <w:p>
      <w:pPr>
        <w:jc w:val="both"/>
        <w:ind w:left="4" w:right="20" w:firstLine="574"/>
        <w:spacing w:after="0" w:line="289" w:lineRule="auto"/>
        <w:rPr>
          <w:sz w:val="20"/>
          <w:szCs w:val="20"/>
          <w:color w:val="auto"/>
        </w:rPr>
      </w:pPr>
      <w:r>
        <w:rPr>
          <w:rFonts w:ascii="Arial" w:cs="Arial" w:eastAsia="Arial" w:hAnsi="Arial"/>
          <w:sz w:val="14"/>
          <w:szCs w:val="14"/>
          <w:color w:val="auto"/>
        </w:rPr>
        <w:t>As a reflection of our policy of innovation and focus on R&amp;D, we have continued to introduce new products into the market. During the year ended December 31, 2021, we have launched several new products such as (i) Epapure (icosapent-ethyl) the first branded product available in Latin America that is equivalent to Vascepa, the first FDA-approved drug to reduce cardiovascular risk among patients with elevated triglyceride levels; (ii) RENESTEX (Levocetirizine + Montelukast), which offers a dual use solution for both allergies and asthma patients based on our Unigel technology; (iii) ECLAMP (acetylsalicylic acid) designed for high risk pregnant patients with preeclampsia;</w:t>
      </w:r>
    </w:p>
    <w:p>
      <w:pPr>
        <w:spacing w:after="0" w:line="2" w:lineRule="exact"/>
        <w:rPr>
          <w:sz w:val="20"/>
          <w:szCs w:val="20"/>
          <w:color w:val="auto"/>
        </w:rPr>
      </w:pPr>
    </w:p>
    <w:p>
      <w:pPr>
        <w:jc w:val="both"/>
        <w:ind w:left="4" w:right="20" w:hanging="4"/>
        <w:spacing w:after="0" w:line="254" w:lineRule="auto"/>
        <w:tabs>
          <w:tab w:leader="none" w:pos="2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liquid topical-use Minoxidil OTC product introduced to compete in the expanding hair-loss treatment market; (v) a new line of anesthetics for hospital use in intensive care units; (vi) a new line of disposable syringes in Colombia for use in government vaccination programs; and (vii) insulin disposable pens, to complement the holistic treatment for diabetic patients that require insulin along with other sources of treatment for their needs.</w:t>
      </w:r>
    </w:p>
    <w:p>
      <w:pPr>
        <w:spacing w:after="0" w:line="168" w:lineRule="exact"/>
        <w:rPr>
          <w:sz w:val="20"/>
          <w:szCs w:val="20"/>
          <w:color w:val="auto"/>
        </w:rPr>
      </w:pPr>
    </w:p>
    <w:p>
      <w:pPr>
        <w:jc w:val="both"/>
        <w:ind w:left="4" w:firstLine="574"/>
        <w:spacing w:after="0" w:line="276" w:lineRule="auto"/>
        <w:rPr>
          <w:sz w:val="20"/>
          <w:szCs w:val="20"/>
          <w:color w:val="auto"/>
        </w:rPr>
      </w:pPr>
      <w:r>
        <w:rPr>
          <w:rFonts w:ascii="Arial" w:cs="Arial" w:eastAsia="Arial" w:hAnsi="Arial"/>
          <w:sz w:val="15"/>
          <w:szCs w:val="15"/>
          <w:color w:val="auto"/>
        </w:rPr>
        <w:t>Our iCDMO services have experienced increased demand and our B-to-B Colombian operations continue to attract new clients in highly regulated markets such as the United States, Europe and Australia. New generic Softgel products have been introduced in the United States and Australia. Furthermore, we have continued our geographic expansion efforts in the US and Europe, which we expect will continue to increase as a result of our recently acquired FDA approved 86,000 square feet pharmaceutical production facility located in West Palm Beach, Florida. Our Funtrition product offerings have also increased, expanding its geographical reach to more than 10 countries. Procaps’ Brazilian operations continue to grow through OTC product alliances and inhouse specialty supplement developments.</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New Products and First Time Launch Products</w:t>
      </w:r>
    </w:p>
    <w:p>
      <w:pPr>
        <w:spacing w:after="0" w:line="202"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We consider a product to be a “first time launch product” if it was reformulated; was a product line extension due to changes in characteristics such as strength, flavor, or color; had a change in product status from Rx to OTC; was a new store brand or branded launch; or was provided in a new dosage form, in all cases, within 36 months prior to the end of the period for which net sales are being measured.</w:t>
      </w:r>
    </w:p>
    <w:p>
      <w:pPr>
        <w:spacing w:after="0" w:line="162" w:lineRule="exact"/>
        <w:rPr>
          <w:sz w:val="20"/>
          <w:szCs w:val="20"/>
          <w:color w:val="auto"/>
        </w:rPr>
      </w:pPr>
    </w:p>
    <w:p>
      <w:pPr>
        <w:jc w:val="both"/>
        <w:ind w:left="4" w:right="20" w:firstLine="574"/>
        <w:spacing w:after="0" w:line="258" w:lineRule="auto"/>
        <w:rPr>
          <w:sz w:val="20"/>
          <w:szCs w:val="20"/>
          <w:color w:val="auto"/>
        </w:rPr>
      </w:pPr>
      <w:r>
        <w:rPr>
          <w:rFonts w:ascii="Arial" w:cs="Arial" w:eastAsia="Arial" w:hAnsi="Arial"/>
          <w:sz w:val="16"/>
          <w:szCs w:val="16"/>
          <w:color w:val="auto"/>
        </w:rPr>
        <w:t>We consider a product to be a “new product” if it was a “first time launch product” (</w:t>
      </w:r>
      <w:r>
        <w:rPr>
          <w:rFonts w:ascii="Arial" w:cs="Arial" w:eastAsia="Arial" w:hAnsi="Arial"/>
          <w:sz w:val="16"/>
          <w:szCs w:val="16"/>
          <w:i w:val="1"/>
          <w:iCs w:val="1"/>
          <w:color w:val="auto"/>
        </w:rPr>
        <w:t>i.e.</w:t>
      </w:r>
      <w:r>
        <w:rPr>
          <w:rFonts w:ascii="Arial" w:cs="Arial" w:eastAsia="Arial" w:hAnsi="Arial"/>
          <w:sz w:val="16"/>
          <w:szCs w:val="16"/>
          <w:color w:val="auto"/>
        </w:rPr>
        <w:t xml:space="preserve"> if it was reformulated; was a product line extension due to changes in characteristics such as strength, flavor, or color; had a change in product status from Rx to OTC; was a new store brand or branded launch; or was provided in a new dosage form); or if it was sold to a new geographic area with different regulatory authorities, in all cases, within 36 months prior to the end of the period for which net sales are being measured.</w:t>
      </w:r>
    </w:p>
    <w:p>
      <w:pPr>
        <w:spacing w:after="0" w:line="165" w:lineRule="exact"/>
        <w:rPr>
          <w:sz w:val="20"/>
          <w:szCs w:val="20"/>
          <w:color w:val="auto"/>
        </w:rPr>
      </w:pPr>
    </w:p>
    <w:p>
      <w:pPr>
        <w:jc w:val="both"/>
        <w:ind w:left="4" w:right="20" w:firstLine="574"/>
        <w:spacing w:after="0" w:line="287" w:lineRule="auto"/>
        <w:rPr>
          <w:sz w:val="20"/>
          <w:szCs w:val="20"/>
          <w:color w:val="auto"/>
        </w:rPr>
      </w:pPr>
      <w:r>
        <w:rPr>
          <w:rFonts w:ascii="Arial" w:cs="Arial" w:eastAsia="Arial" w:hAnsi="Arial"/>
          <w:sz w:val="15"/>
          <w:szCs w:val="15"/>
          <w:color w:val="auto"/>
        </w:rPr>
        <w:t>On average, we develop and introduce more than 150 new products, including more than 50 first time launch products, per year over the last three years. New product sales for the year ended December 31, 2021 totaled $96.3 million in net revenues, accounting for approximately 23.5% of our net revenue for the period, and for the year ended December 31, 2020, totaled $78.7 million in net revenue, accounting for approximately 23.7% of our net revenue for the period.</w:t>
      </w:r>
    </w:p>
    <w:p>
      <w:pPr>
        <w:spacing w:after="0" w:line="146"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On average, over the last three years, 25% of our new products are developed for our third-party iCDMO customers and 10% of our new products require clinical testing and regulatory approval prior to commercialization.</w:t>
      </w:r>
    </w:p>
    <w:p>
      <w:pPr>
        <w:spacing w:after="0" w:line="152"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The table below sets forth the number of new product applications, and of applications of certain products developed that have not yet been commercialized, that have been approved per jurisdiction and regulatory agency for the years ended December 31, 2021, 2020 and 2019.</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89"/>
              </w:rPr>
              <w:t>Number of product applications approved</w:t>
            </w:r>
          </w:p>
        </w:tc>
      </w:tr>
      <w:tr>
        <w:trPr>
          <w:trHeight w:val="212"/>
        </w:trPr>
        <w:tc>
          <w:tcPr>
            <w:tcW w:w="7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jc w:val="center"/>
              <w:ind w:left="680"/>
              <w:spacing w:after="0"/>
              <w:rPr>
                <w:sz w:val="20"/>
                <w:szCs w:val="20"/>
                <w:color w:val="auto"/>
              </w:rPr>
            </w:pPr>
            <w:r>
              <w:rPr>
                <w:rFonts w:ascii="Arial" w:cs="Arial" w:eastAsia="Arial" w:hAnsi="Arial"/>
                <w:sz w:val="16"/>
                <w:szCs w:val="16"/>
                <w:b w:val="1"/>
                <w:bCs w:val="1"/>
                <w:color w:val="auto"/>
                <w:w w:val="89"/>
              </w:rPr>
              <w:t>for the year ended 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7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Jurisdiction/Regulatory Agency</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Borders>
              <w:bottom w:val="single" w:sz="8" w:color="CCEEFF"/>
            </w:tcBorders>
          </w:tcPr>
          <w:p>
            <w:pPr>
              <w:spacing w:after="0"/>
              <w:rPr>
                <w:sz w:val="18"/>
                <w:szCs w:val="18"/>
                <w:color w:val="auto"/>
              </w:rPr>
            </w:pPr>
          </w:p>
        </w:tc>
      </w:tr>
      <w:tr>
        <w:trPr>
          <w:trHeight w:val="191"/>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Bolivia (AGEMED)</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Brazil (ANVISA)</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Colombia (INVIMA)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Costa Rica (Health Ministry)</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Ecuador (ARSCA)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El Salvador (DNM)</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20</w:t>
            </w: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Guatemala (Ministry of Public Health and Social Assistance)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Honduras (ARSA)</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21</w:t>
            </w: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Nicaragua (Health Ministry)</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Panama (National Directorate of Pharmacies and Drugs)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8</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Peru (DIGEMID)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Dominican Republic (Health Ministry)</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Venezuela (INHRR)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r>
      <w:tr>
        <w:trPr>
          <w:trHeight w:val="208"/>
        </w:trPr>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162</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112</w:t>
            </w:r>
          </w:p>
        </w:tc>
      </w:tr>
    </w:tbl>
    <w:p>
      <w:pPr>
        <w:spacing w:after="0" w:line="16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As of December 31, 2021, we had over 159 drug registrations pending approval.</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Products and Services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iCDMO — NextGel (Softigel brand)</w:t>
      </w:r>
    </w:p>
    <w:p>
      <w:pPr>
        <w:spacing w:after="0" w:line="198"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Our NextGel business segment, operated under our Softigel brand, is the iCDMO arm of Procaps which offers services specializing in Softgel and operates globally in the B-to-B market, more specifically in Brazil, Colombia and the United States. We are the top Softgel manufacturer in South and Central America and top five in the world in terms of Softgel production capacity, according to an independent third-party industry analysis report. The iCDMO agreements with our top-tier customers range from five to ten-year terms. Our NextGel business segment has 126 clients across more than 35 countries and the key products that we manufacture in this segment include Softgel pharmaceutical products such as Advil, Apronax Liquidgels, multivitamins, Vitamin D and Dolex ActivGel.</w:t>
      </w:r>
    </w:p>
    <w:p>
      <w:pPr>
        <w:spacing w:after="0" w:line="15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Through our Softigel brand, we provide formulation, development, and manufacturing services for Softgel for global pharmaceutical and consumer health and nutraceutical markets and supporting ancillary services.</w:t>
      </w:r>
    </w:p>
    <w:p>
      <w:pPr>
        <w:spacing w:after="0" w:line="15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Our Softgel technology was first commercialized in 1978 with the launch of our Dolofen brand, and we have continually enhanced the platform since then. Our principal Softgel technologies include Versagel, Chewgel, Unigel and G-tabs. Softgel capsules are used in a broad range of customer products, including Rx drugs, OTC medications, dietary supplements, unit-dose cosmetics, and animal health medicinal preparations. Softgel capsules encapsulate liquid, paste, or oil-based formulations of active compounds in solution or suspension within an outer shell. In the manufacturing process, the capsules are formed, filled, and sealed simultaneously. We typically perform encapsulation for a product within one of our Softgel manufacturing facilities, with active ingredients provided by customers or sourced directly by us. Softgels have historically been used to solve formulation challenges or technical issues for a specific drug, to help improve the clinical performance of compounds, to provide for a more exact dose, to provide important market differentiation, particularly for OTC medications, and to provide safe handling of hormonal, highly potent, and cytotoxic drugs. We also participate in the Softgel vitamin, mineral, and supplement business in selected regions around the world.</w:t>
      </w:r>
    </w:p>
    <w:p>
      <w:pPr>
        <w:spacing w:after="0" w:line="157"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In 2010, we introduced a smart Softgel capsule technology called Unigel, which incorporates other delivery systems such as tablets, capsules, microgranules or pellets into one single Softgel capsule. Our Unigel capsules combine two different active pharmaceutical ingredients (“API”) that were not previously compatible in a tablet dosage form, by use of a barrier that avoids permeation from the liquid phase into the tablet core without affecting the dissolution rate of the API contained in this dosage form, encapsulating a smaller tablet into a Softgel capsule.</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In 2012 we introduced our versatile plant-based Softgel shell called Versagel, allowing us to extend the Softgel dose form to a broader range of active ingredients that due to their natural potential of hydrogen (PH) levels, are impossible to encapsule in more traditional gelatin, and serve patient/consumer populations that were previously inaccessible due to religious, dietary, or cultural preferences.</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2014, we introduced a chewable Softgel capsule technology called Chewgel, providing a new solution for children and consumers who have difficulty swallowing standard Softgel capsules.</w:t>
      </w:r>
    </w:p>
    <w:p>
      <w:pPr>
        <w:spacing w:after="0" w:line="15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In 2014, we introduced our G-tabs technology which consist of gelatin coated tablets that are easy to swallow, and we believe, based on current technology, to be impossible to counterfeit. G-tabs are coated with one- or two-toned color gelatin (which can be printed on not printed) and helps mask unpleasant odors and flavors. In addition, our G-tabs technology helps enhance product stability, provides protection for photosensitive pharmaceutical ingredients, reduces degradation due to exposure to air, and is available in a variety of shapes and colors.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table below sets forth our primary Softigel products by category and the percentage of the NextGel segment’s gross revenue attributed to the sale of such product for the years ended December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40" w:type="dxa"/>
            <w:vAlign w:val="bottom"/>
            <w:gridSpan w:val="4"/>
          </w:tcPr>
          <w:p>
            <w:pPr>
              <w:ind w:left="1260"/>
              <w:spacing w:after="0"/>
              <w:rPr>
                <w:sz w:val="20"/>
                <w:szCs w:val="20"/>
                <w:color w:val="auto"/>
              </w:rPr>
            </w:pPr>
            <w:r>
              <w:rPr>
                <w:rFonts w:ascii="Arial" w:cs="Arial" w:eastAsia="Arial" w:hAnsi="Arial"/>
                <w:sz w:val="16"/>
                <w:szCs w:val="16"/>
                <w:b w:val="1"/>
                <w:bCs w:val="1"/>
                <w:color w:val="auto"/>
              </w:rPr>
              <w:t>Percentage of NextGel’s gross revenues for the year ended December 31</w:t>
            </w:r>
          </w:p>
        </w:tc>
      </w:tr>
      <w:tr>
        <w:trPr>
          <w:trHeight w:val="195"/>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Softigel Product</w:t>
            </w:r>
          </w:p>
        </w:tc>
        <w:tc>
          <w:tcPr>
            <w:tcW w:w="6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Category</w:t>
            </w:r>
          </w:p>
        </w:tc>
        <w:tc>
          <w:tcPr>
            <w:tcW w:w="80" w:type="dxa"/>
            <w:vAlign w:val="bottom"/>
            <w:tcBorders>
              <w:top w:val="single" w:sz="8" w:color="auto"/>
            </w:tcBorders>
          </w:tcPr>
          <w:p>
            <w:pPr>
              <w:spacing w:after="0"/>
              <w:rPr>
                <w:sz w:val="16"/>
                <w:szCs w:val="16"/>
                <w:color w:val="auto"/>
              </w:rPr>
            </w:pPr>
          </w:p>
        </w:tc>
        <w:tc>
          <w:tcPr>
            <w:tcW w:w="282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6"/>
                <w:szCs w:val="16"/>
                <w:b w:val="1"/>
                <w:bCs w:val="1"/>
                <w:color w:val="auto"/>
              </w:rPr>
              <w:t>2021</w:t>
            </w:r>
          </w:p>
        </w:tc>
        <w:tc>
          <w:tcPr>
            <w:tcW w:w="1680" w:type="dxa"/>
            <w:vAlign w:val="bottom"/>
            <w:tcBorders>
              <w:top w:val="single" w:sz="8" w:color="auto"/>
            </w:tcBorders>
          </w:tcPr>
          <w:p>
            <w:pPr>
              <w:spacing w:after="0"/>
              <w:rPr>
                <w:sz w:val="16"/>
                <w:szCs w:val="16"/>
                <w:color w:val="auto"/>
              </w:rPr>
            </w:pPr>
          </w:p>
        </w:tc>
        <w:tc>
          <w:tcPr>
            <w:tcW w:w="2900" w:type="dxa"/>
            <w:vAlign w:val="bottom"/>
            <w:tcBorders>
              <w:top w:val="single" w:sz="8" w:color="auto"/>
              <w:bottom w:val="single" w:sz="8" w:color="auto"/>
            </w:tcBorders>
          </w:tcPr>
          <w:p>
            <w:pPr>
              <w:jc w:val="right"/>
              <w:ind w:right="1200"/>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6"/>
                <w:szCs w:val="16"/>
                <w:color w:val="auto"/>
              </w:rPr>
            </w:pPr>
          </w:p>
        </w:tc>
      </w:tr>
      <w:tr>
        <w:trPr>
          <w:trHeight w:val="191"/>
        </w:trPr>
        <w:tc>
          <w:tcPr>
            <w:tcW w:w="1660" w:type="dxa"/>
            <w:vAlign w:val="bottom"/>
          </w:tcPr>
          <w:p>
            <w:pPr>
              <w:spacing w:after="0"/>
              <w:rPr>
                <w:sz w:val="20"/>
                <w:szCs w:val="20"/>
                <w:color w:val="auto"/>
              </w:rPr>
            </w:pPr>
            <w:r>
              <w:rPr>
                <w:rFonts w:ascii="Arial" w:cs="Arial" w:eastAsia="Arial" w:hAnsi="Arial"/>
                <w:sz w:val="16"/>
                <w:szCs w:val="16"/>
                <w:color w:val="auto"/>
              </w:rPr>
              <w:t>Gummies</w:t>
            </w:r>
          </w:p>
        </w:tc>
        <w:tc>
          <w:tcPr>
            <w:tcW w:w="6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Food/Supplements</w:t>
            </w:r>
          </w:p>
        </w:tc>
        <w:tc>
          <w:tcPr>
            <w:tcW w:w="80" w:type="dxa"/>
            <w:vAlign w:val="bottom"/>
          </w:tcPr>
          <w:p>
            <w:pPr>
              <w:spacing w:after="0"/>
              <w:rPr>
                <w:sz w:val="16"/>
                <w:szCs w:val="16"/>
                <w:color w:val="auto"/>
              </w:rPr>
            </w:pPr>
          </w:p>
        </w:tc>
        <w:tc>
          <w:tcPr>
            <w:tcW w:w="4500" w:type="dxa"/>
            <w:vAlign w:val="bottom"/>
            <w:gridSpan w:val="2"/>
          </w:tcPr>
          <w:p>
            <w:pPr>
              <w:jc w:val="right"/>
              <w:ind w:right="1560"/>
              <w:spacing w:after="0"/>
              <w:rPr>
                <w:sz w:val="20"/>
                <w:szCs w:val="20"/>
                <w:color w:val="auto"/>
              </w:rPr>
            </w:pPr>
            <w:r>
              <w:rPr>
                <w:rFonts w:ascii="Arial" w:cs="Arial" w:eastAsia="Arial" w:hAnsi="Arial"/>
                <w:sz w:val="16"/>
                <w:szCs w:val="16"/>
                <w:color w:val="auto"/>
              </w:rPr>
              <w:t>23%</w:t>
            </w:r>
          </w:p>
        </w:tc>
        <w:tc>
          <w:tcPr>
            <w:tcW w:w="314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r>
      <w:tr>
        <w:trPr>
          <w:trHeight w:val="191"/>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Advil</w:t>
            </w:r>
          </w:p>
        </w:tc>
        <w:tc>
          <w:tcPr>
            <w:tcW w:w="6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Analgesics</w:t>
            </w:r>
          </w:p>
        </w:tc>
        <w:tc>
          <w:tcPr>
            <w:tcW w:w="4500" w:type="dxa"/>
            <w:vAlign w:val="bottom"/>
            <w:gridSpan w:val="2"/>
            <w:shd w:val="clear" w:color="auto" w:fill="CCEEFF"/>
          </w:tcPr>
          <w:p>
            <w:pPr>
              <w:jc w:val="right"/>
              <w:ind w:right="1560"/>
              <w:spacing w:after="0"/>
              <w:rPr>
                <w:sz w:val="20"/>
                <w:szCs w:val="20"/>
                <w:color w:val="auto"/>
              </w:rPr>
            </w:pPr>
            <w:r>
              <w:rPr>
                <w:rFonts w:ascii="Arial" w:cs="Arial" w:eastAsia="Arial" w:hAnsi="Arial"/>
                <w:sz w:val="16"/>
                <w:szCs w:val="16"/>
                <w:color w:val="auto"/>
              </w:rPr>
              <w:t>17%</w:t>
            </w:r>
          </w:p>
        </w:tc>
        <w:tc>
          <w:tcPr>
            <w:tcW w:w="3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r>
      <w:tr>
        <w:trPr>
          <w:trHeight w:val="191"/>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Isotretinoin</w:t>
            </w:r>
          </w:p>
        </w:tc>
        <w:tc>
          <w:tcPr>
            <w:tcW w:w="6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1"/>
              </w:rPr>
              <w:t>Skin Care</w:t>
            </w:r>
          </w:p>
        </w:tc>
        <w:tc>
          <w:tcPr>
            <w:tcW w:w="4500" w:type="dxa"/>
            <w:vAlign w:val="bottom"/>
            <w:gridSpan w:val="2"/>
            <w:shd w:val="clear" w:color="auto" w:fill="CCEEFF"/>
          </w:tcPr>
          <w:p>
            <w:pPr>
              <w:jc w:val="right"/>
              <w:ind w:right="1560"/>
              <w:spacing w:after="0"/>
              <w:rPr>
                <w:sz w:val="20"/>
                <w:szCs w:val="20"/>
                <w:color w:val="auto"/>
              </w:rPr>
            </w:pPr>
            <w:r>
              <w:rPr>
                <w:rFonts w:ascii="Arial" w:cs="Arial" w:eastAsia="Arial" w:hAnsi="Arial"/>
                <w:sz w:val="16"/>
                <w:szCs w:val="16"/>
                <w:color w:val="auto"/>
              </w:rPr>
              <w:t>7%</w:t>
            </w:r>
          </w:p>
        </w:tc>
        <w:tc>
          <w:tcPr>
            <w:tcW w:w="3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r>
      <w:tr>
        <w:trPr>
          <w:trHeight w:val="191"/>
        </w:trPr>
        <w:tc>
          <w:tcPr>
            <w:tcW w:w="1660" w:type="dxa"/>
            <w:vAlign w:val="bottom"/>
          </w:tcPr>
          <w:p>
            <w:pPr>
              <w:spacing w:after="0"/>
              <w:rPr>
                <w:sz w:val="20"/>
                <w:szCs w:val="20"/>
                <w:color w:val="auto"/>
              </w:rPr>
            </w:pPr>
            <w:r>
              <w:rPr>
                <w:rFonts w:ascii="Arial" w:cs="Arial" w:eastAsia="Arial" w:hAnsi="Arial"/>
                <w:sz w:val="16"/>
                <w:szCs w:val="16"/>
                <w:color w:val="auto"/>
              </w:rPr>
              <w:t>Progesterone</w:t>
            </w:r>
          </w:p>
        </w:tc>
        <w:tc>
          <w:tcPr>
            <w:tcW w:w="60" w:type="dxa"/>
            <w:vAlign w:val="bottom"/>
          </w:tcPr>
          <w:p>
            <w:pPr>
              <w:spacing w:after="0"/>
              <w:rPr>
                <w:sz w:val="16"/>
                <w:szCs w:val="16"/>
                <w:color w:val="auto"/>
              </w:rPr>
            </w:pPr>
          </w:p>
        </w:tc>
        <w:tc>
          <w:tcPr>
            <w:tcW w:w="1900" w:type="dxa"/>
            <w:vAlign w:val="bottom"/>
            <w:gridSpan w:val="2"/>
          </w:tcPr>
          <w:p>
            <w:pPr>
              <w:jc w:val="center"/>
              <w:ind w:right="60"/>
              <w:spacing w:after="0"/>
              <w:rPr>
                <w:sz w:val="20"/>
                <w:szCs w:val="20"/>
                <w:color w:val="auto"/>
              </w:rPr>
            </w:pPr>
            <w:r>
              <w:rPr>
                <w:rFonts w:ascii="Arial" w:cs="Arial" w:eastAsia="Arial" w:hAnsi="Arial"/>
                <w:sz w:val="16"/>
                <w:szCs w:val="16"/>
                <w:color w:val="auto"/>
                <w:w w:val="92"/>
              </w:rPr>
              <w:t>Hormonal</w:t>
            </w:r>
          </w:p>
        </w:tc>
        <w:tc>
          <w:tcPr>
            <w:tcW w:w="4500" w:type="dxa"/>
            <w:vAlign w:val="bottom"/>
            <w:gridSpan w:val="2"/>
          </w:tcPr>
          <w:p>
            <w:pPr>
              <w:jc w:val="right"/>
              <w:ind w:right="1560"/>
              <w:spacing w:after="0"/>
              <w:rPr>
                <w:sz w:val="20"/>
                <w:szCs w:val="20"/>
                <w:color w:val="auto"/>
              </w:rPr>
            </w:pPr>
            <w:r>
              <w:rPr>
                <w:rFonts w:ascii="Arial" w:cs="Arial" w:eastAsia="Arial" w:hAnsi="Arial"/>
                <w:sz w:val="16"/>
                <w:szCs w:val="16"/>
                <w:color w:val="auto"/>
              </w:rPr>
              <w:t>5%</w:t>
            </w:r>
          </w:p>
        </w:tc>
        <w:tc>
          <w:tcPr>
            <w:tcW w:w="314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r>
      <w:tr>
        <w:trPr>
          <w:trHeight w:val="191"/>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Umbral</w:t>
            </w:r>
          </w:p>
        </w:tc>
        <w:tc>
          <w:tcPr>
            <w:tcW w:w="6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Analgesics</w:t>
            </w:r>
          </w:p>
        </w:tc>
        <w:tc>
          <w:tcPr>
            <w:tcW w:w="4500" w:type="dxa"/>
            <w:vAlign w:val="bottom"/>
            <w:gridSpan w:val="2"/>
            <w:shd w:val="clear" w:color="auto" w:fill="CCEEFF"/>
          </w:tcPr>
          <w:p>
            <w:pPr>
              <w:jc w:val="right"/>
              <w:ind w:right="1560"/>
              <w:spacing w:after="0"/>
              <w:rPr>
                <w:sz w:val="20"/>
                <w:szCs w:val="20"/>
                <w:color w:val="auto"/>
              </w:rPr>
            </w:pPr>
            <w:r>
              <w:rPr>
                <w:rFonts w:ascii="Arial" w:cs="Arial" w:eastAsia="Arial" w:hAnsi="Arial"/>
                <w:sz w:val="16"/>
                <w:szCs w:val="16"/>
                <w:color w:val="auto"/>
              </w:rPr>
              <w:t>1%</w:t>
            </w:r>
          </w:p>
        </w:tc>
        <w:tc>
          <w:tcPr>
            <w:tcW w:w="3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r>
    </w:tbl>
    <w:p>
      <w:pPr>
        <w:spacing w:after="0" w:line="179"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Our NextGel segment launched 30 new brands and 49 new products in 2021, most notably Eye Mojo gummies, Turmeric gummies, Zinc gummies, No Filter sleep gummies, Mulgatol, Deferol and Fortzkink gummies, Feminis DHA, Provicta D, Ogestan Blues, Vidyn D3, Nutragesta, Novagesic, Lemoflu, Benet Man &amp; Woman MultiVitamin, and 38 new brands and over 45 new products in 2020, most notably Quelatus gest (prenatal multivitamins), Vitamin D3, Lufbem (Simeticona), Agar immunity gummy, Agar sleep gummy, and Agar stress gummy.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45" w:name="page46"/>
    <w:bookmarkEnd w:id="45"/>
    <w:p>
      <w:pPr>
        <w:ind w:left="4"/>
        <w:spacing w:after="0"/>
        <w:rPr>
          <w:sz w:val="20"/>
          <w:szCs w:val="20"/>
          <w:color w:val="auto"/>
        </w:rPr>
      </w:pPr>
      <w:r>
        <w:rPr>
          <w:rFonts w:ascii="Arial" w:cs="Arial" w:eastAsia="Arial" w:hAnsi="Arial"/>
          <w:sz w:val="16"/>
          <w:szCs w:val="16"/>
          <w:i w:val="1"/>
          <w:iCs w:val="1"/>
          <w:color w:val="auto"/>
        </w:rPr>
        <w:t>Marketing and Sales</w:t>
      </w:r>
    </w:p>
    <w:p>
      <w:pPr>
        <w:spacing w:after="0" w:line="198" w:lineRule="exact"/>
        <w:rPr>
          <w:sz w:val="20"/>
          <w:szCs w:val="20"/>
          <w:color w:val="auto"/>
        </w:rPr>
      </w:pPr>
    </w:p>
    <w:p>
      <w:pPr>
        <w:ind w:left="4" w:right="20" w:firstLine="574"/>
        <w:spacing w:after="0" w:line="275" w:lineRule="auto"/>
        <w:rPr>
          <w:sz w:val="20"/>
          <w:szCs w:val="20"/>
          <w:color w:val="auto"/>
        </w:rPr>
      </w:pPr>
      <w:r>
        <w:rPr>
          <w:rFonts w:ascii="Arial" w:cs="Arial" w:eastAsia="Arial" w:hAnsi="Arial"/>
          <w:sz w:val="16"/>
          <w:szCs w:val="16"/>
          <w:color w:val="auto"/>
        </w:rPr>
        <w:t>The table below sets forth our primary customers for our iCDMO Softgel technology, including percentage of sales for the years ended December 31, 2021 and 2020 and average relationship years by category.</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4"/>
          </w:tcPr>
          <w:p>
            <w:pPr>
              <w:jc w:val="center"/>
              <w:ind w:left="80"/>
              <w:spacing w:after="0"/>
              <w:rPr>
                <w:sz w:val="20"/>
                <w:szCs w:val="20"/>
                <w:color w:val="auto"/>
              </w:rPr>
            </w:pPr>
            <w:r>
              <w:rPr>
                <w:rFonts w:ascii="Arial" w:cs="Arial" w:eastAsia="Arial" w:hAnsi="Arial"/>
                <w:sz w:val="16"/>
                <w:szCs w:val="16"/>
                <w:b w:val="1"/>
                <w:bCs w:val="1"/>
                <w:color w:val="auto"/>
                <w:w w:val="88"/>
              </w:rPr>
              <w:t>Percentage of NextGel Segment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5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4"/>
          </w:tcPr>
          <w:p>
            <w:pPr>
              <w:jc w:val="center"/>
              <w:ind w:left="80"/>
              <w:spacing w:after="0" w:line="179" w:lineRule="exact"/>
              <w:rPr>
                <w:sz w:val="20"/>
                <w:szCs w:val="20"/>
                <w:color w:val="auto"/>
              </w:rPr>
            </w:pPr>
            <w:r>
              <w:rPr>
                <w:rFonts w:ascii="Arial" w:cs="Arial" w:eastAsia="Arial" w:hAnsi="Arial"/>
                <w:sz w:val="16"/>
                <w:szCs w:val="16"/>
                <w:b w:val="1"/>
                <w:bCs w:val="1"/>
                <w:color w:val="auto"/>
                <w:w w:val="87"/>
              </w:rPr>
              <w:t>Sales for the year ended</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5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6"/>
                <w:szCs w:val="16"/>
                <w:b w:val="1"/>
                <w:bCs w:val="1"/>
                <w:color w:val="auto"/>
                <w:w w:val="90"/>
              </w:rPr>
              <w:t>December 31,</w:t>
            </w:r>
          </w:p>
        </w:tc>
        <w:tc>
          <w:tcPr>
            <w:tcW w:w="1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Relationship</w:t>
            </w:r>
          </w:p>
        </w:tc>
        <w:tc>
          <w:tcPr>
            <w:tcW w:w="5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Category</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5"/>
                <w:szCs w:val="15"/>
                <w:b w:val="1"/>
                <w:bCs w:val="1"/>
                <w:color w:val="auto"/>
                <w:w w:val="89"/>
              </w:rPr>
              <w:t>Years</w:t>
            </w:r>
            <w:r>
              <w:rPr>
                <w:rFonts w:ascii="Arial" w:cs="Arial" w:eastAsia="Arial" w:hAnsi="Arial"/>
                <w:sz w:val="24"/>
                <w:szCs w:val="24"/>
                <w:b w:val="1"/>
                <w:bCs w:val="1"/>
                <w:color w:val="auto"/>
                <w:w w:val="89"/>
                <w:vertAlign w:val="superscript"/>
              </w:rPr>
              <w:t>(1)</w:t>
            </w:r>
          </w:p>
        </w:tc>
        <w:tc>
          <w:tcPr>
            <w:tcW w:w="100" w:type="dxa"/>
            <w:vAlign w:val="bottom"/>
            <w:tcBorders>
              <w:bottom w:val="single" w:sz="8" w:color="CCEEFF"/>
            </w:tcBorders>
          </w:tcPr>
          <w:p>
            <w:pPr>
              <w:spacing w:after="0"/>
              <w:rPr>
                <w:sz w:val="19"/>
                <w:szCs w:val="19"/>
                <w:color w:val="auto"/>
              </w:rPr>
            </w:pPr>
          </w:p>
        </w:tc>
        <w:tc>
          <w:tcPr>
            <w:tcW w:w="5060" w:type="dxa"/>
            <w:vAlign w:val="bottom"/>
            <w:tcBorders>
              <w:bottom w:val="single" w:sz="8" w:color="auto"/>
            </w:tcBorders>
          </w:tcPr>
          <w:p>
            <w:pPr>
              <w:ind w:left="1980"/>
              <w:spacing w:after="0"/>
              <w:rPr>
                <w:sz w:val="20"/>
                <w:szCs w:val="20"/>
                <w:color w:val="auto"/>
              </w:rPr>
            </w:pPr>
            <w:r>
              <w:rPr>
                <w:rFonts w:ascii="Arial" w:cs="Arial" w:eastAsia="Arial" w:hAnsi="Arial"/>
                <w:sz w:val="16"/>
                <w:szCs w:val="16"/>
                <w:b w:val="1"/>
                <w:bCs w:val="1"/>
                <w:color w:val="auto"/>
              </w:rPr>
              <w:t>Selected Clients</w:t>
            </w:r>
          </w:p>
        </w:tc>
        <w:tc>
          <w:tcPr>
            <w:tcW w:w="0" w:type="dxa"/>
            <w:vAlign w:val="bottom"/>
          </w:tcPr>
          <w:p>
            <w:pPr>
              <w:spacing w:after="0"/>
              <w:rPr>
                <w:sz w:val="1"/>
                <w:szCs w:val="1"/>
                <w:color w:val="auto"/>
              </w:rPr>
            </w:pPr>
          </w:p>
        </w:tc>
      </w:tr>
      <w:tr>
        <w:trPr>
          <w:trHeight w:val="179"/>
        </w:trPr>
        <w:tc>
          <w:tcPr>
            <w:tcW w:w="214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Big Pharma</w:t>
            </w:r>
            <w:r>
              <w:rPr>
                <w:rFonts w:ascii="Arial" w:cs="Arial" w:eastAsia="Arial" w:hAnsi="Arial"/>
                <w:sz w:val="26"/>
                <w:szCs w:val="26"/>
                <w:color w:val="auto"/>
                <w:vertAlign w:val="superscript"/>
              </w:rPr>
              <w:t>(2)</w:t>
            </w: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6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w w:val="96"/>
              </w:rPr>
              <w:t>Bayer, Abbott, GlaxoSmithKline, P&amp;G, Sanofi, Bausch + Lomb, Akorn and</w:t>
            </w:r>
          </w:p>
        </w:tc>
        <w:tc>
          <w:tcPr>
            <w:tcW w:w="0" w:type="dxa"/>
            <w:vAlign w:val="bottom"/>
          </w:tcPr>
          <w:p>
            <w:pPr>
              <w:spacing w:after="0"/>
              <w:rPr>
                <w:sz w:val="1"/>
                <w:szCs w:val="1"/>
                <w:color w:val="auto"/>
              </w:rPr>
            </w:pPr>
          </w:p>
        </w:tc>
      </w:tr>
      <w:tr>
        <w:trPr>
          <w:trHeight w:val="204"/>
        </w:trPr>
        <w:tc>
          <w:tcPr>
            <w:tcW w:w="2140" w:type="dxa"/>
            <w:vAlign w:val="bottom"/>
            <w:gridSpan w:val="2"/>
            <w:vMerge w:val="continue"/>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w:t>
            </w:r>
          </w:p>
        </w:tc>
        <w:tc>
          <w:tcPr>
            <w:tcW w:w="9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33%</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Perrigo</w:t>
            </w:r>
          </w:p>
        </w:tc>
        <w:tc>
          <w:tcPr>
            <w:tcW w:w="0" w:type="dxa"/>
            <w:vAlign w:val="bottom"/>
          </w:tcPr>
          <w:p>
            <w:pPr>
              <w:spacing w:after="0"/>
              <w:rPr>
                <w:sz w:val="1"/>
                <w:szCs w:val="1"/>
                <w:color w:val="auto"/>
              </w:rPr>
            </w:pPr>
          </w:p>
        </w:tc>
      </w:tr>
      <w:tr>
        <w:trPr>
          <w:trHeight w:val="179"/>
        </w:trPr>
        <w:tc>
          <w:tcPr>
            <w:tcW w:w="2140" w:type="dxa"/>
            <w:vAlign w:val="bottom"/>
            <w:gridSpan w:val="2"/>
            <w:vMerge w:val="restart"/>
          </w:tcPr>
          <w:p>
            <w:pPr>
              <w:spacing w:after="0"/>
              <w:rPr>
                <w:sz w:val="20"/>
                <w:szCs w:val="20"/>
                <w:color w:val="auto"/>
              </w:rPr>
            </w:pPr>
            <w:r>
              <w:rPr>
                <w:rFonts w:ascii="Arial" w:cs="Arial" w:eastAsia="Arial" w:hAnsi="Arial"/>
                <w:sz w:val="16"/>
                <w:szCs w:val="16"/>
                <w:color w:val="auto"/>
              </w:rPr>
              <w:t>Regional Pharma</w:t>
            </w:r>
            <w:r>
              <w:rPr>
                <w:rFonts w:ascii="Arial" w:cs="Arial" w:eastAsia="Arial" w:hAnsi="Arial"/>
                <w:sz w:val="26"/>
                <w:szCs w:val="26"/>
                <w:color w:val="auto"/>
                <w:vertAlign w:val="superscript"/>
              </w:rPr>
              <w:t>(3)</w:t>
            </w: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60" w:type="dxa"/>
            <w:vAlign w:val="bottom"/>
          </w:tcPr>
          <w:p>
            <w:pPr>
              <w:spacing w:after="0" w:line="179" w:lineRule="exact"/>
              <w:rPr>
                <w:sz w:val="20"/>
                <w:szCs w:val="20"/>
                <w:color w:val="auto"/>
              </w:rPr>
            </w:pPr>
            <w:r>
              <w:rPr>
                <w:rFonts w:ascii="Arial" w:cs="Arial" w:eastAsia="Arial" w:hAnsi="Arial"/>
                <w:sz w:val="16"/>
                <w:szCs w:val="16"/>
                <w:color w:val="auto"/>
                <w:w w:val="94"/>
              </w:rPr>
              <w:t>Eurofarma, Biolab, Roemmers, PharmaScience, Liomont, Consilient Health</w:t>
            </w:r>
          </w:p>
        </w:tc>
        <w:tc>
          <w:tcPr>
            <w:tcW w:w="0" w:type="dxa"/>
            <w:vAlign w:val="bottom"/>
          </w:tcPr>
          <w:p>
            <w:pPr>
              <w:spacing w:after="0"/>
              <w:rPr>
                <w:sz w:val="1"/>
                <w:szCs w:val="1"/>
                <w:color w:val="auto"/>
              </w:rPr>
            </w:pPr>
          </w:p>
        </w:tc>
      </w:tr>
      <w:tr>
        <w:trPr>
          <w:trHeight w:val="204"/>
        </w:trPr>
        <w:tc>
          <w:tcPr>
            <w:tcW w:w="214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52%</w:t>
            </w:r>
          </w:p>
        </w:tc>
        <w:tc>
          <w:tcPr>
            <w:tcW w:w="94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50%</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and Hypera Pharma</w:t>
            </w:r>
          </w:p>
        </w:tc>
        <w:tc>
          <w:tcPr>
            <w:tcW w:w="0" w:type="dxa"/>
            <w:vAlign w:val="bottom"/>
          </w:tcPr>
          <w:p>
            <w:pPr>
              <w:spacing w:after="0"/>
              <w:rPr>
                <w:sz w:val="1"/>
                <w:szCs w:val="1"/>
                <w:color w:val="auto"/>
              </w:rPr>
            </w:pPr>
          </w:p>
        </w:tc>
      </w:tr>
      <w:tr>
        <w:trPr>
          <w:trHeight w:val="227"/>
        </w:trPr>
        <w:tc>
          <w:tcPr>
            <w:tcW w:w="214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Large Suppliers</w:t>
            </w:r>
            <w:r>
              <w:rPr>
                <w:rFonts w:ascii="Arial" w:cs="Arial" w:eastAsia="Arial" w:hAnsi="Arial"/>
                <w:sz w:val="26"/>
                <w:szCs w:val="26"/>
                <w:color w:val="auto"/>
                <w:vertAlign w:val="superscript"/>
              </w:rPr>
              <w:t>(4)</w:t>
            </w: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9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17%</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shd w:val="clear" w:color="auto" w:fill="CCEEFF"/>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Amway, Unilever and Nestlé</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9070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95" w:lineRule="exact"/>
        <w:rPr>
          <w:sz w:val="20"/>
          <w:szCs w:val="20"/>
          <w:color w:val="auto"/>
        </w:rPr>
      </w:pPr>
    </w:p>
    <w:p>
      <w:pPr>
        <w:ind w:left="284" w:hanging="284"/>
        <w:spacing w:after="0"/>
        <w:tabs>
          <w:tab w:leader="none" w:pos="2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Average relationship years is based on revenue weighted average.</w:t>
      </w:r>
    </w:p>
    <w:p>
      <w:pPr>
        <w:spacing w:after="0" w:line="19" w:lineRule="exact"/>
        <w:rPr>
          <w:rFonts w:ascii="Arial" w:cs="Arial" w:eastAsia="Arial" w:hAnsi="Arial"/>
          <w:sz w:val="16"/>
          <w:szCs w:val="16"/>
          <w:color w:val="auto"/>
        </w:rPr>
      </w:pPr>
    </w:p>
    <w:p>
      <w:pPr>
        <w:ind w:left="284" w:hanging="284"/>
        <w:spacing w:after="0"/>
        <w:tabs>
          <w:tab w:leader="none" w:pos="2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Consists of pharmaceutical companies that have a global presence and are among the top 30 worldwide in terms of revenues.</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Consists of pharmaceutical companies that have a presence in more than three countries and are among the top 20 in such markets in terms of revenues.</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Consists of suppliers of medical equipment and supplements that are not pharmaceutical companies.</w:t>
      </w:r>
    </w:p>
    <w:p>
      <w:pPr>
        <w:spacing w:after="0" w:line="186" w:lineRule="exact"/>
        <w:rPr>
          <w:sz w:val="20"/>
          <w:szCs w:val="20"/>
          <w:color w:val="auto"/>
        </w:rPr>
      </w:pPr>
    </w:p>
    <w:p>
      <w:pPr>
        <w:jc w:val="both"/>
        <w:ind w:left="4" w:right="20" w:firstLine="574"/>
        <w:spacing w:after="0" w:line="309" w:lineRule="auto"/>
        <w:rPr>
          <w:sz w:val="20"/>
          <w:szCs w:val="20"/>
          <w:color w:val="auto"/>
        </w:rPr>
      </w:pPr>
      <w:r>
        <w:rPr>
          <w:rFonts w:ascii="Arial" w:cs="Arial" w:eastAsia="Arial" w:hAnsi="Arial"/>
          <w:sz w:val="15"/>
          <w:szCs w:val="15"/>
          <w:color w:val="auto"/>
        </w:rPr>
        <w:t>We seek to establish customer loyalty through superior customer service by providing a comprehensive assortment of high-quality products; timely processing, shipment and delivery of orders; assistance in managing customer inventories; and support in managing and building the customer’s store brand business.</w:t>
      </w:r>
    </w:p>
    <w:p>
      <w:pPr>
        <w:spacing w:after="0" w:line="129" w:lineRule="exact"/>
        <w:rPr>
          <w:sz w:val="20"/>
          <w:szCs w:val="20"/>
          <w:color w:val="auto"/>
        </w:rPr>
      </w:pPr>
    </w:p>
    <w:p>
      <w:pPr>
        <w:jc w:val="both"/>
        <w:ind w:left="4" w:firstLine="574"/>
        <w:spacing w:after="0" w:line="255" w:lineRule="auto"/>
        <w:rPr>
          <w:sz w:val="20"/>
          <w:szCs w:val="20"/>
          <w:color w:val="auto"/>
        </w:rPr>
      </w:pPr>
      <w:r>
        <w:rPr>
          <w:rFonts w:ascii="Arial" w:cs="Arial" w:eastAsia="Arial" w:hAnsi="Arial"/>
          <w:sz w:val="16"/>
          <w:szCs w:val="16"/>
          <w:color w:val="auto"/>
        </w:rPr>
        <w:t>We are specialized in advanced oral drug delivery technologies, particularly Softgel capsules providing integrated, end-to solutions across development to delivery by working closely with customers providing “Idea to Market” solutions, from the initial conception of a product idea to marketing strategy, sales team training and promotional plans. As a value-added service to product development, we provide sales and marketing assistance for customers that are not familiar with the pharmaceutical industry, or have a limited presence, in Latin America. In addition to pharmaceutical clients, our NextGel segment works closely with consumer healthcare companies on the development and commercialization of nutritional and health supplements in novel formats.</w:t>
      </w:r>
    </w:p>
    <w:p>
      <w:pPr>
        <w:spacing w:after="0" w:line="170"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The sales efforts for our NextGel segment is focused on assisting and participating in world-wide fairs for the CDMO segment (such as CPhI Worldwide), as well as by strengthening existing relationships with our B-to-B client base.</w:t>
      </w:r>
    </w:p>
    <w:p>
      <w:pPr>
        <w:spacing w:after="0" w:line="152"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color w:val="auto"/>
        </w:rPr>
        <w:t>The NextGel segment’s product development proposals are highly detailed, involving a significant amount of preparatory work in market and business intelligence, R&amp;D, manufacturing and marketing efforts. Once a specific opportunity to apply one of our proprietary Softgel technologies is identified (such as converting an existing product to a Softgel dosage form), the commercial and marketing teams prepare a presentation outlining the benefits of the Softgel format and illustrating the end-product’s “look and feel”. The proposal will show the anticipated pricing impact of the Softgel dosage form on the existing products. Proposals also include concept art on product packaging and illustrative shelf presence, and occasionally we prepare pilot sample batches of real capsules to present to the clients. In certain cases, our brand proposals are by Procaps and then transferred to the client.</w:t>
      </w:r>
    </w:p>
    <w:p>
      <w:pPr>
        <w:spacing w:after="0" w:line="170" w:lineRule="exact"/>
        <w:rPr>
          <w:sz w:val="20"/>
          <w:szCs w:val="20"/>
          <w:color w:val="auto"/>
        </w:rPr>
      </w:pPr>
    </w:p>
    <w:p>
      <w:pPr>
        <w:ind w:left="564"/>
        <w:spacing w:after="0"/>
        <w:rPr>
          <w:sz w:val="20"/>
          <w:szCs w:val="20"/>
          <w:color w:val="auto"/>
        </w:rPr>
      </w:pPr>
      <w:r>
        <w:rPr>
          <w:rFonts w:ascii="Arial" w:cs="Arial" w:eastAsia="Arial" w:hAnsi="Arial"/>
          <w:sz w:val="15"/>
          <w:szCs w:val="15"/>
          <w:color w:val="auto"/>
        </w:rPr>
        <w:t>Our NextGel iCDMO segment represented 30%, 31% and 29% of our gross revenue for the years ended December 31, 2021, 2020 and 2019, respectively.</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46" w:name="page47"/>
    <w:bookmarkEnd w:id="46"/>
    <w:p>
      <w:pPr>
        <w:spacing w:after="0"/>
        <w:rPr>
          <w:sz w:val="20"/>
          <w:szCs w:val="20"/>
          <w:color w:val="auto"/>
        </w:rPr>
      </w:pPr>
      <w:r>
        <w:rPr>
          <w:rFonts w:ascii="Arial" w:cs="Arial" w:eastAsia="Arial" w:hAnsi="Arial"/>
          <w:sz w:val="16"/>
          <w:szCs w:val="16"/>
          <w:i w:val="1"/>
          <w:iCs w:val="1"/>
          <w:color w:val="auto"/>
        </w:rPr>
        <w:t>Competition</w:t>
      </w:r>
    </w:p>
    <w:p>
      <w:pPr>
        <w:spacing w:after="0" w:line="198"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The market for CDMO services is highly competitive. Our primary competitors in this area include Catalent, Aenova and Patheon. Procaps is the number one Softgel manufacturer in South and Central America and top five in the world in terms of Softgel production capacity, according to an independent third-party industry analysis report.</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Rx Pharmaceutical Products — Farma Procaps and Clinical Specialties</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Our Rx product line comprises the Farma Procaps and the Clinical Specialties brands/business units, and forms part of three of Procaps’ business segments; Procaps Colombia, CAN and CASAND. For more information on our business segments, see Item 5.A under the heading “Operating Results––Business Segments” in this annual report.</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Farma Procaps formulates, manufactures and markets branded prescription drugs. It represents a high growth portfolio that focuses on nine therapeutic areas (feminine care products, pain relief, skin care, digestive health, growth and development, cardiology, vision care, central nervous system and respiratory). As of December 31, 2021, Farma Procaps formulates and manufactures more than 465 products for over 200 brands.</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Clinical Specialties is a leading provider of high-complexity care treatments to private institutions regionally. Its diverse product portfolio, including more than 150 products and over 30 brands, targets various in-demand therapeutic areas and develops, manufactures and markets personal protective equipment, high-complexity drugs for hospital use such as antibiotic, blood clot, immunosuppressant, oncology and analgesics products.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table below sets forth our primary Farma Procaps products by category and the percentage of Farma Procaps’ gross revenue attributed to the sale of such product for the years ended December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9"/>
              </w:rPr>
              <w:t>Percentage of Farma</w:t>
            </w:r>
          </w:p>
        </w:tc>
      </w:t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5"/>
              </w:rPr>
              <w:t>Procaps’ gross revenues</w:t>
            </w:r>
          </w:p>
        </w:tc>
      </w:t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9"/>
              </w:rPr>
              <w:t>for the year ended</w:t>
            </w:r>
          </w:p>
        </w:tc>
      </w:tr>
      <w:tr>
        <w:trPr>
          <w:trHeight w:val="212"/>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bottom w:val="single" w:sz="8" w:color="auto"/>
            </w:tcBorders>
            <w:gridSpan w:val="3"/>
          </w:tcPr>
          <w:p>
            <w:pPr>
              <w:jc w:val="center"/>
              <w:ind w:left="620"/>
              <w:spacing w:after="0"/>
              <w:rPr>
                <w:sz w:val="20"/>
                <w:szCs w:val="20"/>
                <w:color w:val="auto"/>
              </w:rPr>
            </w:pPr>
            <w:r>
              <w:rPr>
                <w:rFonts w:ascii="Arial" w:cs="Arial" w:eastAsia="Arial" w:hAnsi="Arial"/>
                <w:sz w:val="16"/>
                <w:szCs w:val="16"/>
                <w:b w:val="1"/>
                <w:bCs w:val="1"/>
                <w:color w:val="auto"/>
                <w:w w:val="88"/>
              </w:rPr>
              <w:t>December 31</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Farma Procaps Product</w:t>
            </w:r>
          </w:p>
        </w:tc>
        <w:tc>
          <w:tcPr>
            <w:tcW w:w="120" w:type="dxa"/>
            <w:vAlign w:val="bottom"/>
            <w:tcBorders>
              <w:bottom w:val="single" w:sz="8" w:color="CCEEFF"/>
            </w:tcBorders>
          </w:tcPr>
          <w:p>
            <w:pPr>
              <w:spacing w:after="0"/>
              <w:rPr>
                <w:sz w:val="18"/>
                <w:szCs w:val="18"/>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Category</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5"/>
              </w:rPr>
              <w:t>2020</w:t>
            </w:r>
          </w:p>
        </w:tc>
        <w:tc>
          <w:tcPr>
            <w:tcW w:w="160" w:type="dxa"/>
            <w:vAlign w:val="bottom"/>
            <w:tcBorders>
              <w:bottom w:val="single" w:sz="8" w:color="CCEEFF"/>
            </w:tcBorders>
          </w:tcPr>
          <w:p>
            <w:pPr>
              <w:spacing w:after="0"/>
              <w:rPr>
                <w:sz w:val="18"/>
                <w:szCs w:val="18"/>
                <w:color w:val="auto"/>
              </w:rPr>
            </w:pPr>
          </w:p>
        </w:tc>
      </w:tr>
      <w:tr>
        <w:trPr>
          <w:trHeight w:val="191"/>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Gestavit Dha</w:t>
            </w:r>
          </w:p>
        </w:tc>
        <w:tc>
          <w:tcPr>
            <w:tcW w:w="120" w:type="dxa"/>
            <w:vAlign w:val="bottom"/>
            <w:shd w:val="clear" w:color="auto" w:fill="CCEEFF"/>
          </w:tcPr>
          <w:p>
            <w:pPr>
              <w:spacing w:after="0"/>
              <w:rPr>
                <w:sz w:val="16"/>
                <w:szCs w:val="16"/>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Feminine Care</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191"/>
        </w:trPr>
        <w:tc>
          <w:tcPr>
            <w:tcW w:w="4600" w:type="dxa"/>
            <w:vAlign w:val="bottom"/>
            <w:gridSpan w:val="2"/>
          </w:tcPr>
          <w:p>
            <w:pPr>
              <w:spacing w:after="0"/>
              <w:rPr>
                <w:sz w:val="20"/>
                <w:szCs w:val="20"/>
                <w:color w:val="auto"/>
              </w:rPr>
            </w:pPr>
            <w:r>
              <w:rPr>
                <w:rFonts w:ascii="Arial" w:cs="Arial" w:eastAsia="Arial" w:hAnsi="Arial"/>
                <w:sz w:val="16"/>
                <w:szCs w:val="16"/>
                <w:color w:val="auto"/>
              </w:rPr>
              <w:t>Isoface</w:t>
            </w:r>
          </w:p>
        </w:tc>
        <w:tc>
          <w:tcPr>
            <w:tcW w:w="41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Skin Care</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r>
      <w:tr>
        <w:trPr>
          <w:trHeight w:val="191"/>
        </w:trPr>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Citragel</w:t>
            </w:r>
          </w:p>
        </w:tc>
        <w:tc>
          <w:tcPr>
            <w:tcW w:w="414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Feminine Care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191"/>
        </w:trPr>
        <w:tc>
          <w:tcPr>
            <w:tcW w:w="4600" w:type="dxa"/>
            <w:vAlign w:val="bottom"/>
            <w:gridSpan w:val="2"/>
          </w:tcPr>
          <w:p>
            <w:pPr>
              <w:spacing w:after="0"/>
              <w:rPr>
                <w:sz w:val="20"/>
                <w:szCs w:val="20"/>
                <w:color w:val="auto"/>
              </w:rPr>
            </w:pPr>
            <w:r>
              <w:rPr>
                <w:rFonts w:ascii="Arial" w:cs="Arial" w:eastAsia="Arial" w:hAnsi="Arial"/>
                <w:sz w:val="16"/>
                <w:szCs w:val="16"/>
                <w:color w:val="auto"/>
              </w:rPr>
              <w:t>Muvett</w:t>
            </w:r>
          </w:p>
        </w:tc>
        <w:tc>
          <w:tcPr>
            <w:tcW w:w="41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Digestive Health</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r>
      <w:tr>
        <w:trPr>
          <w:trHeight w:val="191"/>
        </w:trPr>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Betaduo</w:t>
            </w:r>
          </w:p>
        </w:tc>
        <w:tc>
          <w:tcPr>
            <w:tcW w:w="41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7"/>
              </w:rPr>
              <w:t>Pain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r>
      <w:tr>
        <w:trPr>
          <w:trHeight w:val="204"/>
        </w:trPr>
        <w:tc>
          <w:tcPr>
            <w:tcW w:w="4600" w:type="dxa"/>
            <w:vAlign w:val="bottom"/>
            <w:gridSpan w:val="2"/>
          </w:tcPr>
          <w:p>
            <w:pPr>
              <w:spacing w:after="0"/>
              <w:rPr>
                <w:sz w:val="20"/>
                <w:szCs w:val="20"/>
                <w:color w:val="auto"/>
              </w:rPr>
            </w:pPr>
            <w:r>
              <w:rPr>
                <w:rFonts w:ascii="Arial" w:cs="Arial" w:eastAsia="Arial" w:hAnsi="Arial"/>
                <w:sz w:val="16"/>
                <w:szCs w:val="16"/>
                <w:color w:val="auto"/>
              </w:rPr>
              <w:t>Fortzink</w:t>
            </w:r>
          </w:p>
        </w:tc>
        <w:tc>
          <w:tcPr>
            <w:tcW w:w="41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Growth &amp; Development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r>
    </w:tbl>
    <w:p>
      <w:pPr>
        <w:spacing w:after="0" w:line="16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table below sets forth our primary Clinical Specialties products by category and the percentage of Clinical Specialties’ gross revenue attributed to the sale of such product for the year ended December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9"/>
              </w:rPr>
              <w:t>Percentage of Clinical</w:t>
            </w:r>
          </w:p>
        </w:tc>
      </w:t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5"/>
              </w:rPr>
              <w:t>Specialties’ gross revenues</w:t>
            </w:r>
          </w:p>
        </w:tc>
      </w:t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9"/>
              </w:rPr>
              <w:t>for the year ended</w:t>
            </w:r>
          </w:p>
        </w:tc>
      </w:tr>
      <w:tr>
        <w:trPr>
          <w:trHeight w:val="212"/>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bottom w:val="single" w:sz="8" w:color="auto"/>
            </w:tcBorders>
            <w:gridSpan w:val="3"/>
          </w:tcPr>
          <w:p>
            <w:pPr>
              <w:jc w:val="center"/>
              <w:ind w:left="620"/>
              <w:spacing w:after="0"/>
              <w:rPr>
                <w:sz w:val="20"/>
                <w:szCs w:val="20"/>
                <w:color w:val="auto"/>
              </w:rPr>
            </w:pPr>
            <w:r>
              <w:rPr>
                <w:rFonts w:ascii="Arial" w:cs="Arial" w:eastAsia="Arial" w:hAnsi="Arial"/>
                <w:sz w:val="16"/>
                <w:szCs w:val="16"/>
                <w:b w:val="1"/>
                <w:bCs w:val="1"/>
                <w:color w:val="auto"/>
                <w:w w:val="88"/>
              </w:rPr>
              <w:t>December 31</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Clinical Specialties Product</w:t>
            </w:r>
          </w:p>
        </w:tc>
        <w:tc>
          <w:tcPr>
            <w:tcW w:w="120" w:type="dxa"/>
            <w:vAlign w:val="bottom"/>
            <w:tcBorders>
              <w:bottom w:val="single" w:sz="8" w:color="CCEEFF"/>
            </w:tcBorders>
          </w:tcPr>
          <w:p>
            <w:pPr>
              <w:spacing w:after="0"/>
              <w:rPr>
                <w:sz w:val="18"/>
                <w:szCs w:val="18"/>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Category</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5"/>
              </w:rPr>
              <w:t>2020</w:t>
            </w:r>
          </w:p>
        </w:tc>
        <w:tc>
          <w:tcPr>
            <w:tcW w:w="160" w:type="dxa"/>
            <w:vAlign w:val="bottom"/>
            <w:tcBorders>
              <w:bottom w:val="single" w:sz="8" w:color="CCEEFF"/>
            </w:tcBorders>
          </w:tcPr>
          <w:p>
            <w:pPr>
              <w:spacing w:after="0"/>
              <w:rPr>
                <w:sz w:val="18"/>
                <w:szCs w:val="18"/>
                <w:color w:val="auto"/>
              </w:rPr>
            </w:pPr>
          </w:p>
        </w:tc>
      </w:tr>
      <w:tr>
        <w:trPr>
          <w:trHeight w:val="191"/>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Clenox</w:t>
            </w:r>
          </w:p>
        </w:tc>
        <w:tc>
          <w:tcPr>
            <w:tcW w:w="120" w:type="dxa"/>
            <w:vAlign w:val="bottom"/>
            <w:shd w:val="clear" w:color="auto" w:fill="CCEEFF"/>
          </w:tcPr>
          <w:p>
            <w:pPr>
              <w:spacing w:after="0"/>
              <w:rPr>
                <w:sz w:val="16"/>
                <w:szCs w:val="16"/>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Blood clot</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191"/>
        </w:trPr>
        <w:tc>
          <w:tcPr>
            <w:tcW w:w="4600" w:type="dxa"/>
            <w:vAlign w:val="bottom"/>
            <w:gridSpan w:val="2"/>
          </w:tcPr>
          <w:p>
            <w:pPr>
              <w:spacing w:after="0"/>
              <w:rPr>
                <w:sz w:val="20"/>
                <w:szCs w:val="20"/>
                <w:color w:val="auto"/>
              </w:rPr>
            </w:pPr>
            <w:r>
              <w:rPr>
                <w:rFonts w:ascii="Arial" w:cs="Arial" w:eastAsia="Arial" w:hAnsi="Arial"/>
                <w:sz w:val="16"/>
                <w:szCs w:val="16"/>
                <w:color w:val="auto"/>
              </w:rPr>
              <w:t>Tracurion</w:t>
            </w:r>
          </w:p>
        </w:tc>
        <w:tc>
          <w:tcPr>
            <w:tcW w:w="414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Anesthetic</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r>
      <w:tr>
        <w:trPr>
          <w:trHeight w:val="191"/>
        </w:trPr>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Hypodermic needles</w:t>
            </w:r>
          </w:p>
        </w:tc>
        <w:tc>
          <w:tcPr>
            <w:tcW w:w="41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Hypodermic</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r>
      <w:tr>
        <w:trPr>
          <w:trHeight w:val="191"/>
        </w:trPr>
        <w:tc>
          <w:tcPr>
            <w:tcW w:w="4600" w:type="dxa"/>
            <w:vAlign w:val="bottom"/>
            <w:gridSpan w:val="2"/>
          </w:tcPr>
          <w:p>
            <w:pPr>
              <w:spacing w:after="0"/>
              <w:rPr>
                <w:sz w:val="20"/>
                <w:szCs w:val="20"/>
                <w:color w:val="auto"/>
              </w:rPr>
            </w:pPr>
            <w:r>
              <w:rPr>
                <w:rFonts w:ascii="Arial" w:cs="Arial" w:eastAsia="Arial" w:hAnsi="Arial"/>
                <w:sz w:val="16"/>
                <w:szCs w:val="16"/>
                <w:color w:val="auto"/>
              </w:rPr>
              <w:t>Merobac</w:t>
            </w:r>
          </w:p>
        </w:tc>
        <w:tc>
          <w:tcPr>
            <w:tcW w:w="414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Antibiotic</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r>
      <w:tr>
        <w:trPr>
          <w:trHeight w:val="191"/>
        </w:trPr>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Tapectam</w:t>
            </w:r>
          </w:p>
        </w:tc>
        <w:tc>
          <w:tcPr>
            <w:tcW w:w="41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8"/>
              </w:rPr>
              <w:t>Antibiotic</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04"/>
        </w:trPr>
        <w:tc>
          <w:tcPr>
            <w:tcW w:w="4600" w:type="dxa"/>
            <w:vAlign w:val="bottom"/>
            <w:gridSpan w:val="2"/>
          </w:tcPr>
          <w:p>
            <w:pPr>
              <w:spacing w:after="0"/>
              <w:rPr>
                <w:sz w:val="20"/>
                <w:szCs w:val="20"/>
                <w:color w:val="auto"/>
              </w:rPr>
            </w:pPr>
            <w:r>
              <w:rPr>
                <w:rFonts w:ascii="Arial" w:cs="Arial" w:eastAsia="Arial" w:hAnsi="Arial"/>
                <w:sz w:val="16"/>
                <w:szCs w:val="16"/>
                <w:color w:val="auto"/>
              </w:rPr>
              <w:t>Surgical masks</w:t>
            </w:r>
          </w:p>
        </w:tc>
        <w:tc>
          <w:tcPr>
            <w:tcW w:w="41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Masks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r>
    </w:tbl>
    <w:p>
      <w:pPr>
        <w:spacing w:after="0" w:line="166"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We launched a number of new Rx products during the year ended December 31, 2021, most notably Nutrigel, Deferol and Mabal. During the year ended December 31, 2021, new product sales of our Rx products were $45.3 million, representing 21% of the segment’s total sales. During the year ended December 31, 2020, we launched several new Rx products, most notably Kimod (Ivermectin). During the year ended December 31, 2020, new product sales of our Rx products were $29.4 million, representing 18% of the segment’s total sales.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47" w:name="page48"/>
    <w:bookmarkEnd w:id="47"/>
    <w:p>
      <w:pPr>
        <w:ind w:left="560"/>
        <w:spacing w:after="0"/>
        <w:rPr>
          <w:sz w:val="20"/>
          <w:szCs w:val="20"/>
          <w:color w:val="auto"/>
        </w:rPr>
      </w:pPr>
      <w:r>
        <w:rPr>
          <w:rFonts w:ascii="Arial" w:cs="Arial" w:eastAsia="Arial" w:hAnsi="Arial"/>
          <w:sz w:val="14"/>
          <w:szCs w:val="14"/>
          <w:color w:val="auto"/>
        </w:rPr>
        <w:t>The table below sets forth the number of Rx drug applications approved per jurisdiction and regulatory agency for the years ended December 31, 2021, 2020 and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gridSpan w:val="7"/>
          </w:tcPr>
          <w:p>
            <w:pPr>
              <w:jc w:val="center"/>
              <w:ind w:right="100"/>
              <w:spacing w:after="0"/>
              <w:rPr>
                <w:sz w:val="20"/>
                <w:szCs w:val="20"/>
                <w:color w:val="auto"/>
              </w:rPr>
            </w:pPr>
            <w:r>
              <w:rPr>
                <w:rFonts w:ascii="Arial" w:cs="Arial" w:eastAsia="Arial" w:hAnsi="Arial"/>
                <w:sz w:val="16"/>
                <w:szCs w:val="16"/>
                <w:b w:val="1"/>
                <w:bCs w:val="1"/>
                <w:color w:val="auto"/>
                <w:w w:val="90"/>
              </w:rPr>
              <w:t>Number of Rx drug applications approved for the year</w:t>
            </w:r>
          </w:p>
        </w:tc>
      </w:tr>
      <w:tr>
        <w:trPr>
          <w:trHeight w:val="212"/>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8"/>
              </w:rPr>
              <w:t>ended December 31</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Jurisdiction/Regulatory Agency</w:t>
            </w: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91"/>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Bolivia (AGEMED)</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Brazil (ANVISA)</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1</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Colombia (INVIMA)</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Costa Rica (Health Ministry)</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4</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Ecuador (ARSCA)</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El Salvador (DNM)</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Guatemala (Ministry of Public Health and Social Assistance)</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Honduras (ARSA)</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Nicaragua (Health Ministry)</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Panama (National Directorate of Pharmacies and Drugs)</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3</w:t>
            </w: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Peru (DIGEMID)</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Dominican Republic (Health Ministry)</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6</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Venezuela (INHRR)</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r>
      <w:tr>
        <w:trPr>
          <w:trHeight w:val="208"/>
        </w:trPr>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63</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73</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120" w:type="dxa"/>
            <w:vAlign w:val="bottom"/>
          </w:tcPr>
          <w:p>
            <w:pPr>
              <w:spacing w:after="0"/>
              <w:rPr>
                <w:sz w:val="18"/>
                <w:szCs w:val="18"/>
                <w:color w:val="auto"/>
              </w:rPr>
            </w:pPr>
          </w:p>
        </w:tc>
      </w:tr>
    </w:tbl>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2021, we had 79 Rx drug applications pending approval.</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 and Sales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Rx pharmaceutical products customers include Coopidrogas — Cooperativa Nacional de Drogas, Drogueria Cruz Verde S.A.S., Droguerías Colsubsidio, Copservir Ltda and Unidrogas S.A, among others.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seek to establish customer loyalty through superior customer service by providing a comprehensive assortment of high-quality products and timely processing, shipment and delivery of orders.</w:t>
      </w:r>
    </w:p>
    <w:p>
      <w:pPr>
        <w:spacing w:after="0" w:line="15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The demand for our Farma Procaps products is largely generated by doctors and physicians. We analyze the doctors and physicians by specialty that we believe would be most beneficial to directly market our products to and schedule strategic visits once or twice a month to present our product portfolio specifically targeting their practice. We also offer technical and scientific information on our products and product samples for the exclusive use of the doctors and physicians to provide to their patients. Our sales force is segmented by medical specialties and receive periodic technical training on the brands and products we sell, as well as sales and relationship training techniques to better enable them to market and sell our products.</w:t>
      </w:r>
    </w:p>
    <w:p>
      <w:pPr>
        <w:spacing w:after="0" w:line="170"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We directly target our marketing and sales effort for our Clinical Specialties products to clinics and hospital. We work together with in-hospital medical specialties to provide primarily medium and high complexity products for use with their patients, which are supported by technical or clinical studies to guarantee their safety.</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Rx pharmaceutical products sales represented 45%, 45% and 47% of our gross revenue for the years ended December 31, 2021, 2020 and 2019, respectively.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48" w:name="page49"/>
    <w:bookmarkEnd w:id="48"/>
    <w:p>
      <w:pPr>
        <w:spacing w:after="0"/>
        <w:rPr>
          <w:sz w:val="20"/>
          <w:szCs w:val="20"/>
          <w:color w:val="auto"/>
        </w:rPr>
      </w:pPr>
      <w:r>
        <w:rPr>
          <w:rFonts w:ascii="Arial" w:cs="Arial" w:eastAsia="Arial" w:hAnsi="Arial"/>
          <w:sz w:val="16"/>
          <w:szCs w:val="16"/>
          <w:i w:val="1"/>
          <w:iCs w:val="1"/>
          <w:color w:val="auto"/>
        </w:rPr>
        <w:t>Competition</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The market for Rx pharmaceutical products is subject to intense competition from generic drug manufacturers, brand-name pharmaceutical companies launching their own or generic version of their branded products (known as an authorized generic), manufacturers of branded drug products that continue to produce those products after patent expirations, and manufacturers of therapeutically similar drugs. Among our primary competitors are Genfar S.A., Abbott Laboratories — Lafrancol S.A.S, Tecnoquimicas S.A., a Santé Pharmaceutique SA, Bayer AG, Merck &amp; Co. Inc., Sanofi S.A.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OTC Products — VitalCare</w:t>
      </w:r>
    </w:p>
    <w:p>
      <w:pPr>
        <w:spacing w:after="0" w:line="198"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Our OTC product line primarily consists of the VitalCare brand/business unit, and forms part of three of Procaps’ business segments; Procaps Colombia, CAN and CASAND. For more information on our business segments, see Item 5.A under the heading “Operating Results––Business Segments” in this annual report.</w:t>
      </w:r>
    </w:p>
    <w:p>
      <w:pPr>
        <w:spacing w:after="0" w:line="129"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VitalCare develops, manufactures and markets OTC consumer healthcare products through an extensive portfolio focused on over eight high-prevalence therapeutic areas (including gastrointestinal, skin care, cough and cold, analgesics, urological, and vitamin, minerals and supplements) at what we believe to be accessible and appealing price points and includes more than 150 brands. Our Colmed OTC product line, which is part of our VitalCare business unit, consists of products in the following categories: antibiotics, anti-infective, anti-parasitic, cardiovascular, feminine care, cutaneous antimycotic, pain killers, gastrointestinal, hormonals, metabolic, endocrine, nervous system, ophthalmic, osteoarticular, respiratory, diet supplements and vitamins and minerals.</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market and sell our OTC products in the following key regional markets: Bolivia, Colombia, Costa Rica, Dominican Republic, Ecuador, El Salvador, Guatemala, Honduras, Nicaragua, Panama, Peru, and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Products</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table below sets forth our primary VitalCare OTC products by category and the percentage of the VitalCare’s gross revenue attributed to the sale of such product for the year ended December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7"/>
              </w:rPr>
              <w:t>Percentage of VitalCare’s gross</w:t>
            </w:r>
          </w:p>
        </w:tc>
      </w:t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8"/>
              </w:rPr>
              <w:t>revenues for the year ended</w:t>
            </w:r>
          </w:p>
        </w:tc>
      </w:tr>
      <w:tr>
        <w:trPr>
          <w:trHeight w:val="212"/>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bottom w:val="single" w:sz="8" w:color="auto"/>
            </w:tcBorders>
            <w:gridSpan w:val="3"/>
          </w:tcPr>
          <w:p>
            <w:pPr>
              <w:jc w:val="center"/>
              <w:ind w:left="640"/>
              <w:spacing w:after="0"/>
              <w:rPr>
                <w:sz w:val="20"/>
                <w:szCs w:val="20"/>
                <w:color w:val="auto"/>
              </w:rPr>
            </w:pPr>
            <w:r>
              <w:rPr>
                <w:rFonts w:ascii="Arial" w:cs="Arial" w:eastAsia="Arial" w:hAnsi="Arial"/>
                <w:sz w:val="16"/>
                <w:szCs w:val="16"/>
                <w:b w:val="1"/>
                <w:bCs w:val="1"/>
                <w:color w:val="auto"/>
                <w:w w:val="90"/>
              </w:rPr>
              <w:t>December 31</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VitalCare Product</w:t>
            </w:r>
          </w:p>
        </w:tc>
        <w:tc>
          <w:tcPr>
            <w:tcW w:w="120" w:type="dxa"/>
            <w:vAlign w:val="bottom"/>
            <w:tcBorders>
              <w:bottom w:val="single" w:sz="8" w:color="CCEEFF"/>
            </w:tcBorders>
          </w:tcPr>
          <w:p>
            <w:pPr>
              <w:spacing w:after="0"/>
              <w:rPr>
                <w:sz w:val="18"/>
                <w:szCs w:val="18"/>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Category</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5"/>
              </w:rPr>
              <w:t>2020</w:t>
            </w:r>
          </w:p>
        </w:tc>
        <w:tc>
          <w:tcPr>
            <w:tcW w:w="160" w:type="dxa"/>
            <w:vAlign w:val="bottom"/>
            <w:tcBorders>
              <w:bottom w:val="single" w:sz="8" w:color="CCEEFF"/>
            </w:tcBorders>
          </w:tcPr>
          <w:p>
            <w:pPr>
              <w:spacing w:after="0"/>
              <w:rPr>
                <w:sz w:val="18"/>
                <w:szCs w:val="18"/>
                <w:color w:val="auto"/>
              </w:rPr>
            </w:pPr>
          </w:p>
        </w:tc>
      </w:tr>
      <w:tr>
        <w:trPr>
          <w:trHeight w:val="191"/>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Esomeprazole</w:t>
            </w:r>
          </w:p>
        </w:tc>
        <w:tc>
          <w:tcPr>
            <w:tcW w:w="120" w:type="dxa"/>
            <w:vAlign w:val="bottom"/>
            <w:shd w:val="clear" w:color="auto" w:fill="CCEEFF"/>
          </w:tcPr>
          <w:p>
            <w:pPr>
              <w:spacing w:after="0"/>
              <w:rPr>
                <w:sz w:val="16"/>
                <w:szCs w:val="16"/>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Gastrointestinal</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r>
      <w:tr>
        <w:trPr>
          <w:trHeight w:val="191"/>
        </w:trPr>
        <w:tc>
          <w:tcPr>
            <w:tcW w:w="4600" w:type="dxa"/>
            <w:vAlign w:val="bottom"/>
            <w:gridSpan w:val="2"/>
          </w:tcPr>
          <w:p>
            <w:pPr>
              <w:spacing w:after="0"/>
              <w:rPr>
                <w:sz w:val="20"/>
                <w:szCs w:val="20"/>
                <w:color w:val="auto"/>
              </w:rPr>
            </w:pPr>
            <w:r>
              <w:rPr>
                <w:rFonts w:ascii="Arial" w:cs="Arial" w:eastAsia="Arial" w:hAnsi="Arial"/>
                <w:sz w:val="16"/>
                <w:szCs w:val="16"/>
                <w:color w:val="auto"/>
              </w:rPr>
              <w:t>Vitamin E</w:t>
            </w:r>
          </w:p>
        </w:tc>
        <w:tc>
          <w:tcPr>
            <w:tcW w:w="41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Vitamins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r>
      <w:tr>
        <w:trPr>
          <w:trHeight w:val="191"/>
        </w:trPr>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Levothyroxine</w:t>
            </w:r>
          </w:p>
        </w:tc>
        <w:tc>
          <w:tcPr>
            <w:tcW w:w="41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Metabolic</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191"/>
        </w:trPr>
        <w:tc>
          <w:tcPr>
            <w:tcW w:w="4600" w:type="dxa"/>
            <w:vAlign w:val="bottom"/>
            <w:gridSpan w:val="2"/>
          </w:tcPr>
          <w:p>
            <w:pPr>
              <w:spacing w:after="0"/>
              <w:rPr>
                <w:sz w:val="20"/>
                <w:szCs w:val="20"/>
                <w:color w:val="auto"/>
              </w:rPr>
            </w:pPr>
            <w:r>
              <w:rPr>
                <w:rFonts w:ascii="Arial" w:cs="Arial" w:eastAsia="Arial" w:hAnsi="Arial"/>
                <w:sz w:val="16"/>
                <w:szCs w:val="16"/>
                <w:color w:val="auto"/>
              </w:rPr>
              <w:t>Orlistat</w:t>
            </w:r>
          </w:p>
        </w:tc>
        <w:tc>
          <w:tcPr>
            <w:tcW w:w="41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Metabolic</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r>
      <w:tr>
        <w:trPr>
          <w:trHeight w:val="191"/>
        </w:trPr>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Calcitrol</w:t>
            </w:r>
          </w:p>
        </w:tc>
        <w:tc>
          <w:tcPr>
            <w:tcW w:w="41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Metabolic</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bl>
    <w:p>
      <w:pPr>
        <w:spacing w:after="0" w:line="179"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launched a number of new OTC products during the year ended December 31, 2021, most notably Minoxidil and Betahistina. During the year ended December 31, 2021, new product sales of our OTC products were $10.3 million, representing 12% of the segment’s total sales. During the year ended December 31, 2020, we launched several new OTC products, most notably Colagen and Vitamin D3. During the year ended December 31, 2020, new product sales of our OTC products were $6.8 million, representing 10% of the segment’s total sales.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49" w:name="page50"/>
    <w:bookmarkEnd w:id="49"/>
    <w:p>
      <w:pPr>
        <w:ind w:left="560"/>
        <w:spacing w:after="0"/>
        <w:rPr>
          <w:sz w:val="20"/>
          <w:szCs w:val="20"/>
          <w:color w:val="auto"/>
        </w:rPr>
      </w:pPr>
      <w:r>
        <w:rPr>
          <w:rFonts w:ascii="Arial" w:cs="Arial" w:eastAsia="Arial" w:hAnsi="Arial"/>
          <w:sz w:val="14"/>
          <w:szCs w:val="14"/>
          <w:color w:val="auto"/>
        </w:rPr>
        <w:t>The table below sets forth the number of OTC drug applications approved per jurisdiction and regulatory agency for the years ended December 31, 2021, 2020 and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2019.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1"/>
              </w:rPr>
              <w:t>Number of OTC drug applications approved for the</w:t>
            </w:r>
          </w:p>
        </w:tc>
      </w:tr>
      <w:tr>
        <w:trPr>
          <w:trHeight w:val="212"/>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Borders>
              <w:bottom w:val="single" w:sz="8" w:color="auto"/>
            </w:tcBorders>
            <w:gridSpan w:val="5"/>
          </w:tcPr>
          <w:p>
            <w:pPr>
              <w:jc w:val="center"/>
              <w:ind w:left="820"/>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Jurisdiction/Regulatory Agency</w:t>
            </w: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112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91"/>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Aruba (Health Ministry)</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Bolivia (AGEMED)</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154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Colombia (INVIMA)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Ecuador (ARSCA)</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El Salvador (DNM)</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Guatemala (Ministry of Public Health and Social Assistance)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7</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Honduras (ARSA)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Nicaragua (Health Ministry)</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Peru (DIGEMID)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Dominican Republic (Health Ministry)</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120" w:type="dxa"/>
            <w:vAlign w:val="bottom"/>
            <w:shd w:val="clear" w:color="auto" w:fill="CCEEFF"/>
          </w:tcPr>
          <w:p>
            <w:pPr>
              <w:spacing w:after="0"/>
              <w:rPr>
                <w:sz w:val="16"/>
                <w:szCs w:val="16"/>
                <w:color w:val="auto"/>
              </w:rPr>
            </w:pPr>
          </w:p>
        </w:tc>
      </w:tr>
    </w:tbl>
    <w:p>
      <w:pPr>
        <w:spacing w:after="0" w:line="1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2021, we had seven OTC drug applications pending approval.</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 and Sales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OTC products customers include Coopidrogas — Cooperativa Nacional de Drogas, Pricesmart S.A.S., Drogueria Cruz Verde S.A.S., Olimpica S.A, and Sodimac Colombia S.A., among others.</w:t>
      </w:r>
    </w:p>
    <w:p>
      <w:pPr>
        <w:spacing w:after="0" w:line="152"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Demand for our VitalCare OTC products and generics is generated by the end consumer. We target the end consumer through traditional advertising means, and increasingly though social media in order to more specifically target individual end consumer segments in order to highlight the attributes and differentials of our brands and products. We work with several points of sale customers such as global, national, and regional retail drug, supermarket, and mass merchandise chains, major wholesalers, sourcing groups, hospitals and grocery stores to ensure the homogeneous distribution of our products. We seek to establish customer loyalty through superior customer service by providing a comprehensive assortment of high-quality products and timely processing, shipment and delivery of orders.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Our OTC products sales represented 18%, 16% and 16% of our gross revenue for each of the years ended December 31, 2021, 2020 and 2019,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Competition</w:t>
      </w:r>
    </w:p>
    <w:p>
      <w:pPr>
        <w:spacing w:after="0" w:line="198"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The markets for our OTC products are highly competitive and differ for each product line and geographic region. Our primary competitors include manufacturers, such as GlaxoSmithKline plc, Bayer AG, Sanofi S.A., Tecnoquimicas S.A., Pfizer Inc., Lafrancol S.A.S, Genomma Lab Internacional S.A.B. de C.V., McKesson Corporation, The Procter &amp; Gamble Company and Abbott Laboratories, among others. The various major categories of our OTC products each have certain key competitors, such that a competitor generally does not compete across all product lines. However, some competitors do have larger sales volumes in certain of our categories. Additionally, national brand companies tend to have more resources committed to marketing their products and could in the future manufacture store brand versions of their products at lower prices than their national brand products. Competition is based on a variety of factors, including price, quality, assortment of products, customer service, marketing support, and approvals for new products.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Diabetrics Solutions</w:t>
      </w:r>
    </w:p>
    <w:p>
      <w:pPr>
        <w:spacing w:after="0" w:line="198"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With approximately 6% of the global population living with diabetes and 10% of global health expenditures spent on diabetes each year, we believe our Diabetrics business segment, which is comprised of our Diabetrics brand/business unit, is an attractive regional B-to-C diabetes-focused treatment and management platform that focuses primarily on the Colombian market. It has experienced significant growth since it began its operations in 2015. It has a unique business model when compared to our competitors, as it aims to cover the full spectrum of needs of patients with diabetes by providing products and services such as blood glucose meters, telemonitoring, Rx oral anti-diabetics products, cosmeceuticals (cosmetics that have medicinal properties for diabetic care), insulin delivery systems and other diabetes solutions.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50" w:name="page51"/>
    <w:bookmarkEnd w:id="50"/>
    <w:p>
      <w:pPr>
        <w:jc w:val="both"/>
        <w:ind w:right="20" w:firstLine="574"/>
        <w:spacing w:after="0" w:line="276" w:lineRule="auto"/>
        <w:rPr>
          <w:sz w:val="20"/>
          <w:szCs w:val="20"/>
          <w:color w:val="auto"/>
        </w:rPr>
      </w:pPr>
      <w:r>
        <w:rPr>
          <w:rFonts w:ascii="Arial" w:cs="Arial" w:eastAsia="Arial" w:hAnsi="Arial"/>
          <w:sz w:val="15"/>
          <w:szCs w:val="15"/>
          <w:color w:val="auto"/>
        </w:rPr>
        <w:t>Procaps currently has a leading position in the Colombian market in two Diabetrics product categories with over a 60% market share for blood glucose monitors (strips, meters and lancets) and over a 50% market share for insulin delivery systems (pen needles), based on the total number of patients diagnosed with diabetes that require insulin in Colombia (all individuals diagnosed with type 1 diabetes and 20% of individuals diagnosed with type 2 diabetes) that use such products. In addition, we have increased our market share by over 60%, based on total sales within product category, in the Rx oral -anti-diabetics products category in the Colombian market through the sale of our Metformin products (GMet and Predial Lex) and other Rx products to manage diabetic patient complications.</w:t>
      </w:r>
    </w:p>
    <w:p>
      <w:pPr>
        <w:spacing w:after="0" w:line="155"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As part of our Diabetrics segment’s integral product strategy and holistic approach, we offer products in other product categories such as insulin (Glaritus- Glargine Insulin, launched in the beginning of 2021) and supplements (Cromega and Preventia), among others.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table below sets forth our primary Diabetrics products by category and the percentage of the Diabetrics segment’s gross revenue attributed to the sale of such product for the year ended December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6"/>
              </w:rPr>
              <w:t>Percentage of Diabetrics’ gross</w:t>
            </w:r>
          </w:p>
        </w:tc>
      </w:tr>
      <w:tr>
        <w:trPr>
          <w:trHeight w:val="191"/>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8"/>
              </w:rPr>
              <w:t>revenues for the year ended</w:t>
            </w:r>
          </w:p>
        </w:tc>
      </w:tr>
      <w:tr>
        <w:trPr>
          <w:trHeight w:val="212"/>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bottom w:val="single" w:sz="8" w:color="auto"/>
            </w:tcBorders>
            <w:gridSpan w:val="3"/>
          </w:tcPr>
          <w:p>
            <w:pPr>
              <w:jc w:val="center"/>
              <w:ind w:left="580"/>
              <w:spacing w:after="0"/>
              <w:rPr>
                <w:sz w:val="20"/>
                <w:szCs w:val="20"/>
                <w:color w:val="auto"/>
              </w:rPr>
            </w:pPr>
            <w:r>
              <w:rPr>
                <w:rFonts w:ascii="Arial" w:cs="Arial" w:eastAsia="Arial" w:hAnsi="Arial"/>
                <w:sz w:val="16"/>
                <w:szCs w:val="16"/>
                <w:b w:val="1"/>
                <w:bCs w:val="1"/>
                <w:color w:val="auto"/>
                <w:w w:val="88"/>
              </w:rPr>
              <w:t>December 31</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Diabetrics Product</w:t>
            </w:r>
          </w:p>
        </w:tc>
        <w:tc>
          <w:tcPr>
            <w:tcW w:w="120" w:type="dxa"/>
            <w:vAlign w:val="bottom"/>
            <w:tcBorders>
              <w:bottom w:val="single" w:sz="8" w:color="CCEEFF"/>
            </w:tcBorders>
          </w:tcPr>
          <w:p>
            <w:pPr>
              <w:spacing w:after="0"/>
              <w:rPr>
                <w:sz w:val="16"/>
                <w:szCs w:val="16"/>
                <w:color w:val="auto"/>
              </w:rPr>
            </w:pPr>
          </w:p>
        </w:tc>
        <w:tc>
          <w:tcPr>
            <w:tcW w:w="3480" w:type="dxa"/>
            <w:vAlign w:val="bottom"/>
            <w:tcBorders>
              <w:bottom w:val="single" w:sz="8" w:color="auto"/>
            </w:tcBorders>
          </w:tcPr>
          <w:p>
            <w:pPr>
              <w:ind w:left="1420"/>
              <w:spacing w:after="0"/>
              <w:rPr>
                <w:sz w:val="20"/>
                <w:szCs w:val="20"/>
                <w:color w:val="auto"/>
              </w:rPr>
            </w:pPr>
            <w:r>
              <w:rPr>
                <w:rFonts w:ascii="Arial" w:cs="Arial" w:eastAsia="Arial" w:hAnsi="Arial"/>
                <w:sz w:val="16"/>
                <w:szCs w:val="16"/>
                <w:b w:val="1"/>
                <w:bCs w:val="1"/>
                <w:color w:val="auto"/>
              </w:rPr>
              <w:t>Category</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84"/>
              </w:rPr>
              <w:t>2020</w:t>
            </w:r>
          </w:p>
        </w:tc>
        <w:tc>
          <w:tcPr>
            <w:tcW w:w="160" w:type="dxa"/>
            <w:vAlign w:val="bottom"/>
            <w:tcBorders>
              <w:bottom w:val="single" w:sz="8" w:color="CCEEFF"/>
            </w:tcBorders>
          </w:tcPr>
          <w:p>
            <w:pPr>
              <w:spacing w:after="0"/>
              <w:rPr>
                <w:sz w:val="16"/>
                <w:szCs w:val="16"/>
                <w:color w:val="auto"/>
              </w:rPr>
            </w:pPr>
          </w:p>
        </w:tc>
      </w:tr>
      <w:tr>
        <w:trPr>
          <w:trHeight w:val="227"/>
        </w:trPr>
        <w:tc>
          <w:tcPr>
            <w:tcW w:w="514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Glucoquick</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Blood Glucose Monitor</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r>
      <w:tr>
        <w:trPr>
          <w:trHeight w:val="179"/>
        </w:trPr>
        <w:tc>
          <w:tcPr>
            <w:tcW w:w="5140" w:type="dxa"/>
            <w:vAlign w:val="bottom"/>
          </w:tcPr>
          <w:p>
            <w:pPr>
              <w:spacing w:after="0" w:line="179" w:lineRule="exact"/>
              <w:rPr>
                <w:sz w:val="20"/>
                <w:szCs w:val="20"/>
                <w:color w:val="auto"/>
              </w:rPr>
            </w:pPr>
            <w:r>
              <w:rPr>
                <w:rFonts w:ascii="Arial" w:cs="Arial" w:eastAsia="Arial" w:hAnsi="Arial"/>
                <w:sz w:val="16"/>
                <w:szCs w:val="16"/>
                <w:color w:val="auto"/>
              </w:rPr>
              <w:t>Predial Lex</w:t>
            </w:r>
          </w:p>
        </w:tc>
        <w:tc>
          <w:tcPr>
            <w:tcW w:w="120" w:type="dxa"/>
            <w:vAlign w:val="bottom"/>
          </w:tcPr>
          <w:p>
            <w:pPr>
              <w:spacing w:after="0"/>
              <w:rPr>
                <w:sz w:val="15"/>
                <w:szCs w:val="15"/>
                <w:color w:val="auto"/>
              </w:rPr>
            </w:pPr>
          </w:p>
        </w:tc>
        <w:tc>
          <w:tcPr>
            <w:tcW w:w="3600" w:type="dxa"/>
            <w:vAlign w:val="bottom"/>
            <w:gridSpan w:val="2"/>
          </w:tcPr>
          <w:p>
            <w:pPr>
              <w:spacing w:after="0" w:line="179" w:lineRule="exact"/>
              <w:rPr>
                <w:sz w:val="20"/>
                <w:szCs w:val="20"/>
                <w:color w:val="auto"/>
              </w:rPr>
            </w:pPr>
            <w:r>
              <w:rPr>
                <w:rFonts w:ascii="Arial" w:cs="Arial" w:eastAsia="Arial" w:hAnsi="Arial"/>
                <w:sz w:val="16"/>
                <w:szCs w:val="16"/>
                <w:color w:val="auto"/>
              </w:rPr>
              <w:t>Rx oral anti-diabetics</w:t>
            </w:r>
          </w:p>
        </w:tc>
        <w:tc>
          <w:tcPr>
            <w:tcW w:w="1240" w:type="dxa"/>
            <w:vAlign w:val="bottom"/>
            <w:gridSpan w:val="2"/>
          </w:tcPr>
          <w:p>
            <w:pPr>
              <w:jc w:val="right"/>
              <w:ind w:right="120"/>
              <w:spacing w:after="0" w:line="179" w:lineRule="exact"/>
              <w:rPr>
                <w:sz w:val="20"/>
                <w:szCs w:val="20"/>
                <w:color w:val="auto"/>
              </w:rPr>
            </w:pPr>
            <w:r>
              <w:rPr>
                <w:rFonts w:ascii="Arial" w:cs="Arial" w:eastAsia="Arial" w:hAnsi="Arial"/>
                <w:sz w:val="16"/>
                <w:szCs w:val="16"/>
                <w:color w:val="auto"/>
              </w:rPr>
              <w:t>17%</w:t>
            </w:r>
          </w:p>
        </w:tc>
        <w:tc>
          <w:tcPr>
            <w:tcW w:w="340" w:type="dxa"/>
            <w:vAlign w:val="bottom"/>
          </w:tcPr>
          <w:p>
            <w:pPr>
              <w:spacing w:after="0"/>
              <w:rPr>
                <w:sz w:val="15"/>
                <w:szCs w:val="15"/>
                <w:color w:val="auto"/>
              </w:rPr>
            </w:pPr>
          </w:p>
        </w:tc>
        <w:tc>
          <w:tcPr>
            <w:tcW w:w="820" w:type="dxa"/>
            <w:vAlign w:val="bottom"/>
            <w:gridSpan w:val="2"/>
          </w:tcPr>
          <w:p>
            <w:pPr>
              <w:jc w:val="right"/>
              <w:ind w:right="20"/>
              <w:spacing w:after="0" w:line="179" w:lineRule="exact"/>
              <w:rPr>
                <w:sz w:val="20"/>
                <w:szCs w:val="20"/>
                <w:color w:val="auto"/>
              </w:rPr>
            </w:pPr>
            <w:r>
              <w:rPr>
                <w:rFonts w:ascii="Arial" w:cs="Arial" w:eastAsia="Arial" w:hAnsi="Arial"/>
                <w:sz w:val="16"/>
                <w:szCs w:val="16"/>
                <w:color w:val="auto"/>
              </w:rPr>
              <w:t>7%</w:t>
            </w:r>
          </w:p>
        </w:tc>
      </w:tr>
      <w:tr>
        <w:trPr>
          <w:trHeight w:val="204"/>
        </w:trPr>
        <w:tc>
          <w:tcPr>
            <w:tcW w:w="5140" w:type="dxa"/>
            <w:vAlign w:val="bottom"/>
          </w:tcPr>
          <w:p>
            <w:pPr>
              <w:spacing w:after="0"/>
              <w:rPr>
                <w:sz w:val="20"/>
                <w:szCs w:val="20"/>
                <w:color w:val="auto"/>
              </w:rPr>
            </w:pPr>
            <w:r>
              <w:rPr>
                <w:rFonts w:ascii="Arial" w:cs="Arial" w:eastAsia="Arial" w:hAnsi="Arial"/>
                <w:sz w:val="16"/>
                <w:szCs w:val="16"/>
                <w:color w:val="auto"/>
              </w:rPr>
              <w:t>Glucoquick Agujas</w:t>
            </w:r>
          </w:p>
        </w:tc>
        <w:tc>
          <w:tcPr>
            <w:tcW w:w="12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Insulin Delivery Systems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3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r>
      <w:tr>
        <w:trPr>
          <w:trHeight w:val="191"/>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GMet</w:t>
            </w:r>
          </w:p>
        </w:tc>
        <w:tc>
          <w:tcPr>
            <w:tcW w:w="120" w:type="dxa"/>
            <w:vAlign w:val="bottom"/>
            <w:shd w:val="clear" w:color="auto" w:fill="CCEEFF"/>
          </w:tcPr>
          <w:p>
            <w:pPr>
              <w:spacing w:after="0"/>
              <w:rPr>
                <w:sz w:val="16"/>
                <w:szCs w:val="16"/>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Rx oral anti-diabetics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3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r>
      <w:tr>
        <w:trPr>
          <w:trHeight w:val="191"/>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Lipotic</w:t>
            </w:r>
          </w:p>
        </w:tc>
        <w:tc>
          <w:tcPr>
            <w:tcW w:w="120" w:type="dxa"/>
            <w:vAlign w:val="bottom"/>
            <w:shd w:val="clear" w:color="auto" w:fill="CCEEFF"/>
          </w:tcPr>
          <w:p>
            <w:pPr>
              <w:spacing w:after="0"/>
              <w:rPr>
                <w:sz w:val="16"/>
                <w:szCs w:val="16"/>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Rx oral anti-diabetics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3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179070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(1)  Includes all Glucoquick blood glucose monitor family products.</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launched a number of new Diabetrics products during the year ended December 31, 2021, most notably insulin Glaritus (</w:t>
      </w:r>
      <w:r>
        <w:rPr>
          <w:rFonts w:ascii="Arial" w:cs="Arial" w:eastAsia="Arial" w:hAnsi="Arial"/>
          <w:sz w:val="16"/>
          <w:szCs w:val="16"/>
          <w:i w:val="1"/>
          <w:iCs w:val="1"/>
          <w:color w:val="auto"/>
        </w:rPr>
        <w:t>Glargine Insulin</w:t>
      </w:r>
      <w:r>
        <w:rPr>
          <w:rFonts w:ascii="Arial" w:cs="Arial" w:eastAsia="Arial" w:hAnsi="Arial"/>
          <w:sz w:val="16"/>
          <w:szCs w:val="16"/>
          <w:color w:val="auto"/>
        </w:rPr>
        <w:t>) and Tiras Diamond (BGMs). During the year ended December 31, 2021, new product sales in the Diabetrics segments were $4.3 million, representing 15% of the segment's total sales. During the year ended December 31, 2020, we launched several new Diabetrics products, most notably Preventia Complex. During the year ended December 31, 2020, new product sales in the Diabetrics segments were $3.3 million, representing 14.5% of the segment’s total sales.</w:t>
      </w:r>
    </w:p>
    <w:p>
      <w:pPr>
        <w:spacing w:after="0" w:line="16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During the year ended December 31, 2021, we received approval from INVIMA for six Diabetrics products. During the year ended December 31, 2020, we received approval from the Guatemala National Directorate of Pharmacies and Drugs for three Diabetrics drug applications. As of December 31, 2021, we had 17 Diabetrics products pending approval.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 and Sales</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Our Diabetrics products and services are marketed directly to consumers through a comprehensive offering of innovative products and differentiated services with the goal of providing the optimal cost-benefit ratio. We also focus our efforts on developing prevention, education and self-management strategies with our partners in order to provide value-based-healthcare. Our sales efforts are focused on private and governmental channels, and involve participating in government contract bidding, primarily through Colombia’s public health insurance plan (</w:t>
      </w:r>
      <w:r>
        <w:rPr>
          <w:rFonts w:ascii="Arial" w:cs="Arial" w:eastAsia="Arial" w:hAnsi="Arial"/>
          <w:sz w:val="16"/>
          <w:szCs w:val="16"/>
          <w:i w:val="1"/>
          <w:iCs w:val="1"/>
          <w:color w:val="auto"/>
        </w:rPr>
        <w:t>Entidades Promotoras de Salud</w:t>
      </w:r>
      <w:r>
        <w:rPr>
          <w:rFonts w:ascii="Arial" w:cs="Arial" w:eastAsia="Arial" w:hAnsi="Arial"/>
          <w:sz w:val="16"/>
          <w:szCs w:val="16"/>
          <w:color w:val="auto"/>
        </w:rPr>
        <w: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Diabetrics products and services sales represented 7%, 7% and 6% of our gross revenue for the years ended December 31, 2021, 2020 and 2019,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Competition</w:t>
      </w:r>
    </w:p>
    <w:p>
      <w:pPr>
        <w:spacing w:after="0" w:line="19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We market our Diabetrics products and services primarily in Colombia. Our primary competitors include: (i) F. Hoffmann-La Roche AG, Abbot Laboratories, and Johnson &amp; Johnson in the blood glucose monitor product category; (ii) Becton, Dickinson and Company, Novo Nordisk A/S and Nortstray Nuart SAS in the insulin delivery system product category; (iii) Merck &amp; Co. Inc., Pfizer, Inc., Mckesson Corporation and Siegfried Holding in the Rx oral-anti-diabetics product category; and (iv) Abbot Laboratories in the nutrition products category. We recently entered the insulin product category and will compete primarily with Sanofi S.A.</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i w:val="1"/>
          <w:iCs w:val="1"/>
          <w:color w:val="auto"/>
        </w:rPr>
        <w:t>Manufacturing and Distribution</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We currently operate six manufacturing facilities in Colombia, Brazil and El Salvador and sales offices throughout 13 different countries, which coordinate the sale of our products to six out of the seven continents. Additionally, on December 31, 2021, we completed the acquisition of an FDA approved 86,000 square feet pharmaceutical production facility located in West Palm Beach, Florida from Strides Pharma, Inc. The newly acquired facility has a production capacity of approximately 1.8 billion capsules per year for our iCDMO business unit. We expect this facility to begin operations in May of 2022.</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map below illustrates our global geographical footprint, setting forth the location of our manufacturing facilities and sales offices, and the countries in which we commercialize our products and services.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Facilities</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Our manufacturing facilities include the first FDA-approved Rx pharmaceutical plant in South and Central America and one of only five hormonal Softgel plants in the world. Additionally, our manufacturing facilities are certified, where required, by several regulatory entities including the FDA, Health Canada, the United Kingdom’s MHRA, Australia’s TGA, Mexico’s Cofepris and the ISO under its 14000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1233805</wp:posOffset>
            </wp:positionH>
            <wp:positionV relativeFrom="paragraph">
              <wp:posOffset>111125</wp:posOffset>
            </wp:positionV>
            <wp:extent cx="4643755" cy="2435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43755" cy="243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We have invested approximately $10.4 million in our manufacturing facilities during the years ended December 31, 2021 and 2020, combined, for improvements and expansions. We believe that our sites and equipment are in good condition, are well-maintained, and are able to operate at present levels in all material respects; however, we intend to make additional investments to expand our production capacity in the near future.</w:t>
      </w:r>
    </w:p>
    <w:p>
      <w:pPr>
        <w:spacing w:after="0" w:line="162"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Our manufacturing operations are focused on employee health and safety, regulatory compliance, operational excellence, continuous improvement, and process standardization across our organization. During the years ended December 31, 2021 and 2020, we achieved approximately 91% and 90%, respectively, on-time shipment delivery versus customer request date across our network as a result of this focus. Our manufacturing operations are structured around an enterprise management philosophy and methodology that utilizes principles and tools common to a number of quality management programs, including “current Good Manufacturing Practices” (“cGMP”), ISO under its 9000 and 14000 standards, the Business Alliance for Secure Commerce and Authorized Economic Operator (</w:t>
      </w:r>
      <w:r>
        <w:rPr>
          <w:rFonts w:ascii="Arial" w:cs="Arial" w:eastAsia="Arial" w:hAnsi="Arial"/>
          <w:sz w:val="14"/>
          <w:szCs w:val="14"/>
          <w:i w:val="1"/>
          <w:iCs w:val="1"/>
          <w:color w:val="auto"/>
        </w:rPr>
        <w:t>Operador Económico Autorizado</w:t>
      </w:r>
      <w:r>
        <w:rPr>
          <w:rFonts w:ascii="Arial" w:cs="Arial" w:eastAsia="Arial" w:hAnsi="Arial"/>
          <w:sz w:val="14"/>
          <w:szCs w:val="14"/>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Procaps Barranquilla — Barranquilla, Colombia</w:t>
      </w:r>
    </w:p>
    <w:p>
      <w:pPr>
        <w:spacing w:after="0" w:line="198" w:lineRule="exact"/>
        <w:rPr>
          <w:sz w:val="20"/>
          <w:szCs w:val="20"/>
          <w:color w:val="auto"/>
        </w:rPr>
      </w:pPr>
    </w:p>
    <w:p>
      <w:pPr>
        <w:jc w:val="both"/>
        <w:ind w:right="20" w:firstLine="574"/>
        <w:spacing w:after="0" w:line="273" w:lineRule="auto"/>
        <w:rPr>
          <w:sz w:val="20"/>
          <w:szCs w:val="20"/>
          <w:color w:val="auto"/>
        </w:rPr>
      </w:pPr>
      <w:r>
        <w:rPr>
          <w:rFonts w:ascii="Arial" w:cs="Arial" w:eastAsia="Arial" w:hAnsi="Arial"/>
          <w:sz w:val="15"/>
          <w:szCs w:val="15"/>
          <w:color w:val="auto"/>
        </w:rPr>
        <w:t>Our Procaps Barranquilla manufacturing facility is located in the city of Barranquilla, in Colombia, with approximately 35,200 square meters of total built area and approximately 8,200 square meters of manufacturing plant floor space. This is our primary manufacturing facility and it was the first FDA-approved Rx pharmaceutical plant in South America and Central America. This facility produces products associated with our Softigel, Farma Procaps and VitalCare brands, including Softgel capsules, hormonal soft capsules, nutritional products, tablets, powders, blisters, liquids and hard capsule products. The installed capacity of this facility is 360 million units of Softgel, 7 million units of Farmix and 57 million units of hormonal products per month. The utilization rates, measured as the programmed manufacturing hours divided by the facility’s manufacturing capacity in terms of hours (“Utilization Rate”) for production of our Softigel, Farma Procaps and VitalCare products at this facility were 65%, 68% and 69%, respectively, for each of the years ended December 31, 2021 and 2020.</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52" w:name="page53"/>
    <w:bookmarkEnd w:id="52"/>
    <w:p>
      <w:pPr>
        <w:jc w:val="both"/>
        <w:ind w:right="20" w:firstLine="574"/>
        <w:spacing w:after="0" w:line="262" w:lineRule="auto"/>
        <w:rPr>
          <w:sz w:val="20"/>
          <w:szCs w:val="20"/>
          <w:color w:val="auto"/>
        </w:rPr>
      </w:pPr>
      <w:r>
        <w:rPr>
          <w:rFonts w:ascii="Arial" w:cs="Arial" w:eastAsia="Arial" w:hAnsi="Arial"/>
          <w:sz w:val="16"/>
          <w:szCs w:val="16"/>
          <w:color w:val="auto"/>
        </w:rPr>
        <w:t>Our Procaps Barranquilla manufacturing facility is certified by the FDA, Good Manufacturing Practices (</w:t>
      </w:r>
      <w:r>
        <w:rPr>
          <w:rFonts w:ascii="Arial" w:cs="Arial" w:eastAsia="Arial" w:hAnsi="Arial"/>
          <w:sz w:val="16"/>
          <w:szCs w:val="16"/>
          <w:i w:val="1"/>
          <w:iCs w:val="1"/>
          <w:color w:val="auto"/>
        </w:rPr>
        <w:t>Buenas Prácticas de Manufactura</w:t>
      </w:r>
      <w:r>
        <w:rPr>
          <w:rFonts w:ascii="Arial" w:cs="Arial" w:eastAsia="Arial" w:hAnsi="Arial"/>
          <w:sz w:val="16"/>
          <w:szCs w:val="16"/>
          <w:color w:val="auto"/>
        </w:rPr>
        <w:t>, “BPM”), MHRA, the Business Alliance for Secure Commerce, the Colombian Institute of Technical Standards and Certification (</w:t>
      </w:r>
      <w:r>
        <w:rPr>
          <w:rFonts w:ascii="Arial" w:cs="Arial" w:eastAsia="Arial" w:hAnsi="Arial"/>
          <w:sz w:val="16"/>
          <w:szCs w:val="16"/>
          <w:i w:val="1"/>
          <w:iCs w:val="1"/>
          <w:color w:val="auto"/>
        </w:rPr>
        <w:t>Instituto Colombiano de Normas Técnicas y Certificación</w:t>
      </w:r>
      <w:r>
        <w:rPr>
          <w:rFonts w:ascii="Arial" w:cs="Arial" w:eastAsia="Arial" w:hAnsi="Arial"/>
          <w:sz w:val="16"/>
          <w:szCs w:val="16"/>
          <w:color w:val="auto"/>
        </w:rPr>
        <w:t>, or “ICONTEC”), ANVISA, Cofepris, Health Canada and ISO under its 14000 standard.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Rymco — Barranquilla, Colombia</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Our Rymco manufacturing facility is located in the city of Barranquilla, in Colombia, on an approximately 10,300 square meter lot, with approximately 11,650 square meters of floor space. This facility was acquired as part of Procaps’ acquisition of Rymco S.A. in 2015 and currently produces products associated with our Clinical Specialties brand, including single-use medical products such as syringes, needles, infusion equipment, face masks, and surgical clothing (personal protective equipment). The installed capacity of this facility is 67.1 million units per month. The Utilization Rate for the years ended December 31, 2021 and 2020, for production of our Clinical Specialties products at this facility was 29% and 40%, respectively.</w:t>
      </w:r>
    </w:p>
    <w:p>
      <w:pPr>
        <w:spacing w:after="0" w:line="170"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Our Rymco manufacturing facility is certified by Argentine National Administration of Drugs, Foods and Medical Devices (</w:t>
      </w:r>
      <w:r>
        <w:rPr>
          <w:rFonts w:ascii="Arial" w:cs="Arial" w:eastAsia="Arial" w:hAnsi="Arial"/>
          <w:sz w:val="16"/>
          <w:szCs w:val="16"/>
          <w:i w:val="1"/>
          <w:iCs w:val="1"/>
          <w:color w:val="auto"/>
        </w:rPr>
        <w:t>Administración Nacional de</w:t>
      </w:r>
      <w:r>
        <w:rPr>
          <w:rFonts w:ascii="Arial" w:cs="Arial" w:eastAsia="Arial" w:hAnsi="Arial"/>
          <w:sz w:val="16"/>
          <w:szCs w:val="16"/>
          <w:color w:val="auto"/>
        </w:rPr>
        <w:t xml:space="preserve"> </w:t>
      </w:r>
      <w:r>
        <w:rPr>
          <w:rFonts w:ascii="Arial" w:cs="Arial" w:eastAsia="Arial" w:hAnsi="Arial"/>
          <w:sz w:val="16"/>
          <w:szCs w:val="16"/>
          <w:i w:val="1"/>
          <w:iCs w:val="1"/>
          <w:color w:val="auto"/>
        </w:rPr>
        <w:t>Medicamentos, Alimentos y Tecnología Médica</w:t>
      </w:r>
      <w:r>
        <w:rPr>
          <w:rFonts w:ascii="Arial" w:cs="Arial" w:eastAsia="Arial" w:hAnsi="Arial"/>
          <w:sz w:val="16"/>
          <w:szCs w:val="16"/>
          <w:color w:val="auto"/>
        </w:rPr>
        <w:t>), ISO under its 13485 medical standard and TÜV SÜD America.</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Funtrition — Bogotá, Colombia</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Our Funtrition manufacturing facility is located in the city of Bogotá, in Colombia, on an approximately 2,900 square meter lot, with approximately 1,400 square meters of floor space. This facility produces products associated with our Softigel brand, including gummies related technologies for OTC products and nutraceuticals. The installed capacity of this facility is 250 tons, or approximately 1.3 million units per month. The Utilization Rate for the years ended December 31, 2021 and 2020, for production of our gummy products at this facility was 95% and 69%, respectively.</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Funtrition manufacturing facility is certified by INVIMA.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Pharmayect — Bogotá, Colombia</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Our Pharmayect manufacturing facility is located in the city of Bogotá, in Colombia, on a 18,700 square meter lot, with approximately 13,070 square meters of floor space. This facility produces associated with our Clinical Specialties brand, including syringes, injection vials, sterilized powder products, blisters and vials. The installed capacity of this facility is 11.5 million units per month. The Utilization Rate for the years ended December 31, 2021 and 2020 for production of our Clinical Specialties products at this facility was 69% for each year.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Phamayect manufacturing facility is certified by BPM, ISO under its 9001-2015 standard and ICONTEC.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Softcaps — São Paulo, Brazil</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Our Softcaps manufacturing facility is located in an industrial complex in the city of Cotia, state of São Paulo in Brazil, on a 9,034 square meter lot, with approximately 5,560 square meters of floor space. There are two buildings; one includes the administrative offices, warehouse and quality control laboratory and the other includes the production areas and cafeteria. This facility produces products associated with our Softigel brand, including Softgel capsule products. The installed capacity of this facility is 180 million units per month. The Utilization Rate for the years ended December 31, 2021 and 2020, for production of our Softigel products at this facility was 75% and 60%,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Softcaps manufacturing facility is certified by ANVISA.</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operating license (</w:t>
      </w:r>
      <w:r>
        <w:rPr>
          <w:rFonts w:ascii="Arial" w:cs="Arial" w:eastAsia="Arial" w:hAnsi="Arial"/>
          <w:sz w:val="16"/>
          <w:szCs w:val="16"/>
          <w:i w:val="1"/>
          <w:iCs w:val="1"/>
          <w:color w:val="auto"/>
        </w:rPr>
        <w:t>licença de operação</w:t>
      </w:r>
      <w:r>
        <w:rPr>
          <w:rFonts w:ascii="Arial" w:cs="Arial" w:eastAsia="Arial" w:hAnsi="Arial"/>
          <w:sz w:val="16"/>
          <w:szCs w:val="16"/>
          <w:color w:val="auto"/>
        </w:rPr>
        <w:t>) in connection with the warehouse and quality control laboratory located at our Softgel manufacturing facility was denied, however, such facilities are still being permitted to operate by the State of São Paulo’s Environmental Agency (</w:t>
      </w:r>
      <w:r>
        <w:rPr>
          <w:rFonts w:ascii="Arial" w:cs="Arial" w:eastAsia="Arial" w:hAnsi="Arial"/>
          <w:sz w:val="16"/>
          <w:szCs w:val="16"/>
          <w:i w:val="1"/>
          <w:iCs w:val="1"/>
          <w:color w:val="auto"/>
        </w:rPr>
        <w:t>Companhia Ambiental do Estado de São Paulo</w:t>
      </w:r>
      <w:r>
        <w:rPr>
          <w:rFonts w:ascii="Arial" w:cs="Arial" w:eastAsia="Arial" w:hAnsi="Arial"/>
          <w:sz w:val="16"/>
          <w:szCs w:val="16"/>
          <w:color w:val="auto"/>
        </w:rPr>
        <w:t>, or “CETESB”). For more information, see Item 8.A under the heading “Legal Proceedings— Operating License” below.</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53" w:name="page54"/>
    <w:bookmarkEnd w:id="53"/>
    <w:p>
      <w:pPr>
        <w:spacing w:after="0"/>
        <w:rPr>
          <w:sz w:val="20"/>
          <w:szCs w:val="20"/>
          <w:color w:val="auto"/>
        </w:rPr>
      </w:pPr>
      <w:r>
        <w:rPr>
          <w:rFonts w:ascii="Arial" w:cs="Arial" w:eastAsia="Arial" w:hAnsi="Arial"/>
          <w:sz w:val="16"/>
          <w:szCs w:val="16"/>
          <w:i w:val="1"/>
          <w:iCs w:val="1"/>
          <w:color w:val="auto"/>
        </w:rPr>
        <w:t>Laboratorios López — El Salvador</w:t>
      </w:r>
    </w:p>
    <w:p>
      <w:pPr>
        <w:spacing w:after="0" w:line="198"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Our Laboratorios López manufacturing facility, which include both the Procaps Salvador, S.A. de C.V. (formerly Laboratorios López) and Biokemical S.A. de C.V. manufacturing plants, is located in the city of San Salvador, in El Salvador, on an approximately 20,270 square meter lot, with approximately 7,950 square meters of floor space. This facility was acquired as part of Procaps’ acquisition of Laboratorios López and Biokemical S.A. de C.V. in 2014 and currently produces products associated with our Farma Procaps and VitalCare brands, including multiple dosage form products. The installed capacity of this facility is approximately 15,300 kilograms of solids, 61,600 liters of liquids, 5,000 kilograms of semisolids, 3,300 kilograms of semisolids beta-lactams and 400 kilograms of solids beta-lactams per month. The Utilization Rate for the years ended December 31, 2021 and 2020, for the production of our Farma Procaps and VitalCare products combined at this facility was 89% and 65%, respectively.</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Laboratorios López manufacturing facility is certified by DNM.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Sofgen Facility – West Palm Beach</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On December 31, 2021, we completed the acquisition of an 86,000 square feet pharmaceutical production facility located in West Palm Beach, Florida from Strides Pharma, Inc. The newly acquired facility has an annual production capacity of approximately 1.8 billion capsules. In addition, this facility also has development and analytical testing capabilities. The primary assets included in the acquisition were several Softgel encapsulation lines, critical support systems, automated packaging line capabilities, as well as development facilities including pilot and scale up capabilities. We expect this facility to begin operations in May of 2022.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 and Logistics</w:t>
      </w:r>
    </w:p>
    <w:p>
      <w:pPr>
        <w:spacing w:after="0" w:line="198"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Our logistics team is centralized by line of business in order to enable us to better capture the synergies of our businesses and maintain our operational focus. They operate throughout all countries in which we have a presence and assist us with the transportation of our products, delivering approximately 3,785 tons per year worldwide.</w:t>
      </w:r>
    </w:p>
    <w:p>
      <w:pPr>
        <w:spacing w:after="0" w:line="10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We use a network of third-party transportation companies for customized services, which are regulated by INVIMA, ANVISA, the International Air Transport Association, World Customs Organization (</w:t>
      </w:r>
      <w:r>
        <w:rPr>
          <w:rFonts w:ascii="Arial" w:cs="Arial" w:eastAsia="Arial" w:hAnsi="Arial"/>
          <w:sz w:val="16"/>
          <w:szCs w:val="16"/>
          <w:i w:val="1"/>
          <w:iCs w:val="1"/>
          <w:color w:val="auto"/>
        </w:rPr>
        <w:t>Organización Mundial de Aduanas</w:t>
      </w:r>
      <w:r>
        <w:rPr>
          <w:rFonts w:ascii="Arial" w:cs="Arial" w:eastAsia="Arial" w:hAnsi="Arial"/>
          <w:sz w:val="16"/>
          <w:szCs w:val="16"/>
          <w:color w:val="auto"/>
        </w:rPr>
        <w:t>), the International Chamber of Shipping and other applicable regulatory agencies where we operate.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total, we make approximately 110 international shipments per month directly from our manufacturing facilities.</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Our products are stored in self-owned storages in Barranquilla and Bogota in Colombia, El Salvador and Brazil, and with third-party storage facilities that meet all of the requirements of our products in terms of space and environmental conditions.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Raw Materials and Material Sourcing</w:t>
      </w:r>
    </w:p>
    <w:p>
      <w:pPr>
        <w:spacing w:after="0" w:line="202" w:lineRule="exact"/>
        <w:rPr>
          <w:sz w:val="20"/>
          <w:szCs w:val="20"/>
          <w:color w:val="auto"/>
        </w:rPr>
      </w:pPr>
    </w:p>
    <w:p>
      <w:pPr>
        <w:jc w:val="both"/>
        <w:ind w:firstLine="574"/>
        <w:spacing w:after="0" w:line="292" w:lineRule="auto"/>
        <w:rPr>
          <w:sz w:val="20"/>
          <w:szCs w:val="20"/>
          <w:color w:val="auto"/>
        </w:rPr>
      </w:pPr>
      <w:r>
        <w:rPr>
          <w:rFonts w:ascii="Arial" w:cs="Arial" w:eastAsia="Arial" w:hAnsi="Arial"/>
          <w:sz w:val="14"/>
          <w:szCs w:val="14"/>
          <w:color w:val="auto"/>
        </w:rPr>
        <w:t>Affordable, high-quality raw materials and packaging components are essential to all of our business segments due to the nature of the products we manufacture. We use a broad and diverse range of raw materials in the design, development, and manufacturing of our products. This includes, but is not limited to, key materials such as gelatin, starch and iota carrageenan for our Softgel products, packaging films for our Rx and OTC products, and glass vials and syringes for injectable fill-finish for certain of our Rx and Diabetrics products. The raw materials that we use are sourced externally on a global basis and are generally available from multiple suppliers. Supplies of certain raw materials and product delivery systems may be more limited, as they are available from one or only a few suppliers and may require extensive compatibility testing before we can use them. For more information on the risks associated with the raw materials we use and their sourcing, please see Item 3.D under the heading “Risk Factors — Risks Related to Product Development and Manufacturing — Our future results of operations are subject to fluctuations in the costs, availability, and suitability of the components of the products we manufacture, including active pharmaceutical ingredients, excipients, purchased components, and raw materials. In addition, the global supply chain crisis may interfere with the operations of certain of our direct or indirect suppliers or with international trade for these supplies, which could raise our costs or reduce the productivity or slow the timing of our operations, which could have a material adverse effect on our business, financial condition and results of operations” of this annual report.</w:t>
      </w:r>
    </w:p>
    <w:p>
      <w:pPr>
        <w:spacing w:after="0" w:line="144"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color w:val="auto"/>
        </w:rPr>
        <w:t>Globally, our supplier relationships could be interrupted due to natural disasters and international supply disruptions, including those caused by pandemics or geopolitical and other issues. For example, commercially usable gelatin is available from a limited number of sources. In addition, much of the gelatin we use is bovine derived. Past concerns of contamination from BSE have narrowed the number of possible sources of particular types of gelatin. If there were a future disruption in the supply of gelatin from any one or more key suppliers, there can be no assurance that we could obtain an alternative supply from our other suppliers. Any future restrictions that were to emerge on the use of bovine-derived gelatin from certain geographic sources due to concerns of contamination from BSE could hinder our ability to timely supply our customers with products and the use of alternative non- bovine-derived gelatin for specific customer products could be subject to lengthy formulation, testing and regulatory approval periods.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54" w:name="page55"/>
    <w:bookmarkEnd w:id="54"/>
    <w:p>
      <w:pPr>
        <w:jc w:val="both"/>
        <w:ind w:right="20" w:firstLine="574"/>
        <w:spacing w:after="0" w:line="288" w:lineRule="auto"/>
        <w:rPr>
          <w:sz w:val="20"/>
          <w:szCs w:val="20"/>
          <w:color w:val="auto"/>
        </w:rPr>
      </w:pPr>
      <w:r>
        <w:rPr>
          <w:rFonts w:ascii="Arial" w:cs="Arial" w:eastAsia="Arial" w:hAnsi="Arial"/>
          <w:sz w:val="14"/>
          <w:szCs w:val="14"/>
          <w:color w:val="auto"/>
        </w:rPr>
        <w:t>We work very closely with our suppliers to assure continuity of supply while maintaining excellence in material quality and reliability. We continually evaluate alternate sources of supply, although we do not frequently pursue regulatory qualification of alternative sources for key raw materials due to the strength of our existing supplier relationships, the reliability of our current supplier base, and the time and expense associated with the regulatory process. Although a change in suppliers could require significant effort or investment by us in circumstances where the items supplied are integral to the performance of our products or incorporate specialized material such as gelatin, we do not believe that the loss of any existing supply arrangement would have a material adverse effect on our business. see Item 3.D under the heading “Risk Factors</w:t>
      </w:r>
    </w:p>
    <w:p>
      <w:pPr>
        <w:spacing w:after="0" w:line="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 Risks Related to Product Development and Manufacturing — Our future results of operations are subject to fluctuations in the costs, availability, and suitability of the components of the products we manufacture, including active pharmaceutical ingredients, excipients, purchased components, and raw materials. In addition, the global supply chain crisis may interfere with the operations of certain of our direct or indirect suppliers or with international trade for these supplies, which could raise our costs or reduce the productivity or slow the timing of our operations, which could have a material adverse effect on our business, financial condition and results of operations” of this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0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Our R&amp;D activities are directed primarily toward the development of new products and services, and the improvement of our manufacturing processes and delivery technologies. Our R&amp;D platform is decentralized with research centers in Barranquilla, Colombia, Cotia, Brazil, and West Palm Beach, Florida. We employ more than 305 scientists, technicians and skilled personnel in R&amp;D and innovation. Our main R&amp;D operation is in the city of Barranquilla, Colombia, which employs over 270 scientists, technicians and skilled personnel in R&amp;D and technological innovation. Our R&amp;D team has developed over 500 pharmaceutical products formulations as of December 31, 2021, resulting in the development of an average of over 150 new products, including more than 50 first time launch products per year over the last three years. Procaps has invested $16.0 million, $15.8 million and $13.2 million in R&amp;D for the years ended December 31, 2021, 2020 and 2019, respectively.</w:t>
      </w:r>
    </w:p>
    <w:p>
      <w:pPr>
        <w:spacing w:after="0" w:line="157"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Our R&amp;D capabilities have led to the development of our Softgel proprietary delivery systems which drives our NextGel business segment and our Rx and OTC product portfolio, allowing us to focus on the development and sale of high-growth and premium pharmaceutical products which we believe are subject to less pricing pressures when compared to more generic pharmaceutical products. The NextGel business segment’s product development proposals involve a significant amount of R&amp;D, among other efforts, which enables Procaps to apply its proprietary Softgel technologies to existing products (such as converting an existing product to a Softgel dosage form). Some of our Softgel technologies include our standard Softgel capsule; Versagel, our versatile plant-based Softgel shell; Chewgel, a chewable Softgel capsule; Unigel, a smart Softgel capsule which incorporates other delivery systems into a single Softgel capsule; and G-tabs, gelatin coated tablets that are easy to swallow and we believe, based on current technology, to be impossible to counterfeit. In addition, our R&amp;D capabilities have allowed us to develop gummies related technologies for our Funtrition OTC products. For more information on such products and technologies, see “— Products and Services.”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Our corporate culture focuses on innovation and R&amp;D, which has resulted in the development of over 500 pharmaceutical product formulations as of December 31, 2021. We rely on a combination of know-how, trade secrets, patents, copyrights, trademarks, and other intellectual property, nondisclosure and other contractual provisions, and technical measures to protect a number of our products, services, processes and intangible assets. These proprietary rights are important to our ongoing operations as 99% of our current Rx and OTC product portfolio is proprietary.</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We have applied in Colombia, the United States and certain other countries for registration of a number of trademarks, service marks, and patents, some of which have been registered and issued, and also hold common law rights in various trademarks and service marks. As of December 31, 2021, we have been granted 39 patents and have 38 patents pending approval.</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 below sets forth the product type/technology for which our patents granted relate, the jurisdiction of registration, the expiration date and the type of patent.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None of our patents listed below have been licensed from third parties or have expired.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55" w:name="page56"/>
    <w:bookmarkEnd w:id="55"/>
    <w:p>
      <w:pPr>
        <w:jc w:val="center"/>
        <w:ind w:right="60"/>
        <w:spacing w:after="0"/>
        <w:rPr>
          <w:sz w:val="20"/>
          <w:szCs w:val="20"/>
          <w:color w:val="auto"/>
        </w:rPr>
      </w:pPr>
      <w:r>
        <w:rPr>
          <w:rFonts w:ascii="Arial" w:cs="Arial" w:eastAsia="Arial" w:hAnsi="Arial"/>
          <w:sz w:val="16"/>
          <w:szCs w:val="16"/>
          <w:b w:val="1"/>
          <w:bCs w:val="1"/>
          <w:color w:val="auto"/>
        </w:rPr>
        <w:t>Patents Granted as of December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8"/>
              </w:rPr>
              <w:t>Product Type/Technology</w:t>
            </w:r>
          </w:p>
        </w:tc>
        <w:tc>
          <w:tcPr>
            <w:tcW w:w="21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8"/>
              </w:rPr>
              <w:t>Type of Patent</w:t>
            </w:r>
          </w:p>
        </w:tc>
        <w:tc>
          <w:tcPr>
            <w:tcW w:w="21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9"/>
              </w:rPr>
              <w:t>Jurisdiction of Registration</w:t>
            </w: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Expiry Date</w:t>
            </w:r>
          </w:p>
        </w:tc>
      </w:tr>
      <w:tr>
        <w:trPr>
          <w:trHeight w:val="207"/>
        </w:trPr>
        <w:tc>
          <w:tcPr>
            <w:tcW w:w="46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Unigel Technology</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Patent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Colombia</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Costa Rica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30/12/2034</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Ribbon Printing (used to print capsules in a continuous process)</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Utility Model</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Colombia</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30/07/2027</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Isoface Formulation</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Colombia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24/07/2023</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Ophthalmic containers</w:t>
            </w:r>
          </w:p>
        </w:tc>
        <w:tc>
          <w:tcPr>
            <w:tcW w:w="21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Design 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0"/>
              </w:rPr>
              <w:t>Ecuador</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07/08/2022</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Nasal Spray Container</w:t>
            </w:r>
          </w:p>
        </w:tc>
        <w:tc>
          <w:tcPr>
            <w:tcW w:w="218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Design 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Ecuador</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07/08/2022</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Mexico</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Degassing apparatus for dissolution media in analytical process</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rPr>
              <w:t>Utility Model</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Colombia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03/06/2026</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7"/>
              </w:rPr>
              <w:t>Cytogel Process</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Colombia</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13/04/2025</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Europe</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Colombia</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Ribbon Printing (used to print capsules in a continuous process)</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80"/>
              <w:spacing w:after="0"/>
              <w:rPr>
                <w:sz w:val="20"/>
                <w:szCs w:val="20"/>
                <w:color w:val="auto"/>
              </w:rPr>
            </w:pPr>
            <w:r>
              <w:rPr>
                <w:rFonts w:ascii="Arial" w:cs="Arial" w:eastAsia="Arial" w:hAnsi="Arial"/>
                <w:sz w:val="16"/>
                <w:szCs w:val="16"/>
                <w:color w:val="auto"/>
                <w:w w:val="85"/>
              </w:rPr>
              <w:t>Canada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30/07/2027</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89"/>
              </w:rPr>
              <w:t>Electronic Dosage Dispensing System</w:t>
            </w:r>
          </w:p>
        </w:tc>
        <w:tc>
          <w:tcPr>
            <w:tcW w:w="2180" w:type="dxa"/>
            <w:vAlign w:val="bottom"/>
            <w:gridSpan w:val="2"/>
            <w:shd w:val="clear" w:color="auto" w:fill="CCEEFF"/>
          </w:tcPr>
          <w:p>
            <w:pPr>
              <w:jc w:val="center"/>
              <w:ind w:right="18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89"/>
              </w:rPr>
              <w:t>United States</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05/25/2023</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Extended under</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 U.S.C.154</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(b) by 715 days</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92"/>
              </w:rPr>
              <w:t>Unigel Technology</w:t>
            </w:r>
          </w:p>
        </w:tc>
        <w:tc>
          <w:tcPr>
            <w:tcW w:w="2180" w:type="dxa"/>
            <w:vAlign w:val="bottom"/>
            <w:gridSpan w:val="2"/>
            <w:shd w:val="clear" w:color="auto" w:fill="CCEEFF"/>
          </w:tcPr>
          <w:p>
            <w:pPr>
              <w:jc w:val="center"/>
              <w:ind w:right="18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89"/>
              </w:rPr>
              <w:t>United States</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07/18/2031</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Extended under</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89"/>
              </w:rPr>
              <w:t>35 U.S.C.154</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(b) by 97 days</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89"/>
              </w:rPr>
              <w:t>Ribbon Printing (used to print capsules in a continuous process)</w:t>
            </w:r>
          </w:p>
        </w:tc>
        <w:tc>
          <w:tcPr>
            <w:tcW w:w="2180" w:type="dxa"/>
            <w:vAlign w:val="bottom"/>
            <w:gridSpan w:val="2"/>
            <w:shd w:val="clear" w:color="auto" w:fill="CCEEFF"/>
          </w:tcPr>
          <w:p>
            <w:pPr>
              <w:jc w:val="center"/>
              <w:ind w:right="18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89"/>
              </w:rPr>
              <w:t>United States</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07/30/2027</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Extended under</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89"/>
              </w:rPr>
              <w:t>35 U.S.C.154</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(b) by 694 days</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Korea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7"/>
              </w:rPr>
              <w:t>Japan</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Colombia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30/12/2034</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3"/>
              </w:rPr>
              <w:t>Cynclor Project</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United States</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29/08/2034</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30/12/2034</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United States</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7"/>
              </w:rPr>
              <w:t>Japan</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30/12/2034</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0"/>
              </w:rPr>
              <w:t>Laboratory-scale encapsulation device</w:t>
            </w:r>
          </w:p>
        </w:tc>
        <w:tc>
          <w:tcPr>
            <w:tcW w:w="21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Utility Models</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Colombia</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28/02/2029</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Brazil</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5"/>
              </w:rPr>
              <w:t>Canada</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98"/>
              </w:rPr>
              <w:t>Mexico</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30/12/2034</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Spain</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Germany</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1"/>
              </w:rPr>
              <w:t>Switzerland</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4"/>
              </w:rPr>
              <w:t>France</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3"/>
              </w:rPr>
              <w:t>United Kingdom</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rPr>
              <w:t>Italy</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8"/>
              </w:rPr>
              <w:t>Poland</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Portugal</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6"/>
              </w:rPr>
              <w:t>Sweden</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Cynclor Project</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29/08/2034</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Blefadex Composition</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4"/>
              </w:rPr>
              <w:t>Brazil</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30/12/2034</w:t>
            </w:r>
          </w:p>
        </w:tc>
      </w:tr>
      <w:tr>
        <w:trPr>
          <w:trHeight w:val="577"/>
        </w:trPr>
        <w:tc>
          <w:tcPr>
            <w:tcW w:w="4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020"/>
              <w:spacing w:after="0"/>
              <w:rPr>
                <w:sz w:val="20"/>
                <w:szCs w:val="20"/>
                <w:color w:val="auto"/>
              </w:rPr>
            </w:pPr>
            <w:r>
              <w:rPr>
                <w:rFonts w:ascii="Arial" w:cs="Arial" w:eastAsia="Arial" w:hAnsi="Arial"/>
                <w:sz w:val="16"/>
                <w:szCs w:val="16"/>
                <w:color w:val="auto"/>
              </w:rPr>
              <w:t>44</w:t>
            </w: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2" w:right="319" w:bottom="1440" w:gutter="0" w:footer="0" w:header="0"/>
        </w:sectPr>
      </w:pPr>
    </w:p>
    <w:bookmarkStart w:id="56" w:name="page57"/>
    <w:bookmarkEnd w:id="56"/>
    <w:p>
      <w:pPr>
        <w:ind w:firstLine="574"/>
        <w:spacing w:after="0" w:line="275" w:lineRule="auto"/>
        <w:rPr>
          <w:sz w:val="20"/>
          <w:szCs w:val="20"/>
          <w:color w:val="auto"/>
        </w:rPr>
      </w:pPr>
      <w:r>
        <w:rPr>
          <w:rFonts w:ascii="Arial" w:cs="Arial" w:eastAsia="Arial" w:hAnsi="Arial"/>
          <w:sz w:val="16"/>
          <w:szCs w:val="16"/>
          <w:color w:val="auto"/>
        </w:rPr>
        <w:t>The table below sets forth the product type/technology for which our patent applications relate, the jurisdiction in which the registration was applied for, the application date and the type of patent.</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Patent Applications Pending Approval as of December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tcPr>
          <w:p>
            <w:pPr>
              <w:ind w:left="660"/>
              <w:spacing w:after="0" w:line="178" w:lineRule="exact"/>
              <w:rPr>
                <w:sz w:val="20"/>
                <w:szCs w:val="20"/>
                <w:color w:val="auto"/>
              </w:rPr>
            </w:pPr>
            <w:r>
              <w:rPr>
                <w:rFonts w:ascii="Arial" w:cs="Arial" w:eastAsia="Arial" w:hAnsi="Arial"/>
                <w:sz w:val="16"/>
                <w:szCs w:val="16"/>
                <w:b w:val="1"/>
                <w:bCs w:val="1"/>
                <w:color w:val="auto"/>
              </w:rPr>
              <w:t>Filing Date/</w:t>
            </w:r>
          </w:p>
        </w:tc>
      </w:tr>
      <w:tr>
        <w:trPr>
          <w:trHeight w:val="212"/>
        </w:trPr>
        <w:tc>
          <w:tcPr>
            <w:tcW w:w="47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Product Type/Technology</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Type of Patent</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Jurisdiction of Registration</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0"/>
              </w:rPr>
              <w:t>Publication Date</w:t>
            </w:r>
          </w:p>
        </w:tc>
      </w:tr>
      <w:tr>
        <w:trPr>
          <w:trHeight w:val="207"/>
        </w:trPr>
        <w:tc>
          <w:tcPr>
            <w:tcW w:w="46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Unigel Technology</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Patent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2"/>
              </w:rPr>
              <w:t>Japan</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01/12/2016</w:t>
            </w:r>
          </w:p>
        </w:tc>
      </w:tr>
      <w:tr>
        <w:trPr>
          <w:trHeight w:val="179"/>
        </w:trPr>
        <w:tc>
          <w:tcPr>
            <w:tcW w:w="4780" w:type="dxa"/>
            <w:vAlign w:val="bottom"/>
            <w:gridSpan w:val="2"/>
          </w:tcPr>
          <w:p>
            <w:pPr>
              <w:jc w:val="center"/>
              <w:ind w:right="200"/>
              <w:spacing w:after="0" w:line="179" w:lineRule="exact"/>
              <w:rPr>
                <w:sz w:val="20"/>
                <w:szCs w:val="20"/>
                <w:color w:val="auto"/>
              </w:rPr>
            </w:pPr>
            <w:r>
              <w:rPr>
                <w:rFonts w:ascii="Arial" w:cs="Arial" w:eastAsia="Arial" w:hAnsi="Arial"/>
                <w:sz w:val="16"/>
                <w:szCs w:val="16"/>
                <w:color w:val="auto"/>
                <w:w w:val="92"/>
              </w:rPr>
              <w:t>HME Technology</w:t>
            </w:r>
          </w:p>
        </w:tc>
        <w:tc>
          <w:tcPr>
            <w:tcW w:w="218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line="179" w:lineRule="exact"/>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line="179" w:lineRule="exact"/>
              <w:rPr>
                <w:sz w:val="20"/>
                <w:szCs w:val="20"/>
                <w:color w:val="auto"/>
              </w:rPr>
            </w:pPr>
            <w:r>
              <w:rPr>
                <w:rFonts w:ascii="Arial" w:cs="Arial" w:eastAsia="Arial" w:hAnsi="Arial"/>
                <w:sz w:val="16"/>
                <w:szCs w:val="16"/>
                <w:color w:val="auto"/>
                <w:w w:val="89"/>
              </w:rPr>
              <w:t>01/06/2015</w:t>
            </w:r>
          </w:p>
        </w:tc>
      </w:tr>
      <w:tr>
        <w:trPr>
          <w:trHeight w:val="191"/>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09/09/2015</w:t>
            </w:r>
          </w:p>
        </w:tc>
      </w:tr>
      <w:tr>
        <w:trPr>
          <w:trHeight w:val="204"/>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07/07/2016</w:t>
            </w:r>
          </w:p>
        </w:tc>
      </w:tr>
      <w:tr>
        <w:trPr>
          <w:trHeight w:val="36"/>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United States</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19/08/2019</w:t>
            </w:r>
          </w:p>
        </w:tc>
      </w:tr>
      <w:tr>
        <w:trPr>
          <w:trHeight w:val="179"/>
        </w:trPr>
        <w:tc>
          <w:tcPr>
            <w:tcW w:w="4780" w:type="dxa"/>
            <w:vAlign w:val="bottom"/>
            <w:gridSpan w:val="2"/>
          </w:tcPr>
          <w:p>
            <w:pPr>
              <w:jc w:val="center"/>
              <w:ind w:right="200"/>
              <w:spacing w:after="0" w:line="179" w:lineRule="exact"/>
              <w:rPr>
                <w:sz w:val="20"/>
                <w:szCs w:val="20"/>
                <w:color w:val="auto"/>
              </w:rPr>
            </w:pPr>
            <w:r>
              <w:rPr>
                <w:rFonts w:ascii="Arial" w:cs="Arial" w:eastAsia="Arial" w:hAnsi="Arial"/>
                <w:sz w:val="16"/>
                <w:szCs w:val="16"/>
                <w:color w:val="auto"/>
                <w:w w:val="92"/>
              </w:rPr>
              <w:t>HME Technology</w:t>
            </w:r>
          </w:p>
        </w:tc>
        <w:tc>
          <w:tcPr>
            <w:tcW w:w="218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line="179" w:lineRule="exact"/>
              <w:rPr>
                <w:sz w:val="20"/>
                <w:szCs w:val="20"/>
                <w:color w:val="auto"/>
              </w:rPr>
            </w:pPr>
            <w:r>
              <w:rPr>
                <w:rFonts w:ascii="Arial" w:cs="Arial" w:eastAsia="Arial" w:hAnsi="Arial"/>
                <w:sz w:val="16"/>
                <w:szCs w:val="16"/>
                <w:color w:val="auto"/>
                <w:w w:val="89"/>
              </w:rPr>
              <w:t>Europe</w:t>
            </w:r>
          </w:p>
        </w:tc>
        <w:tc>
          <w:tcPr>
            <w:tcW w:w="2160" w:type="dxa"/>
            <w:vAlign w:val="bottom"/>
          </w:tcPr>
          <w:p>
            <w:pPr>
              <w:jc w:val="center"/>
              <w:spacing w:after="0" w:line="179" w:lineRule="exact"/>
              <w:rPr>
                <w:sz w:val="20"/>
                <w:szCs w:val="20"/>
                <w:color w:val="auto"/>
              </w:rPr>
            </w:pPr>
            <w:r>
              <w:rPr>
                <w:rFonts w:ascii="Arial" w:cs="Arial" w:eastAsia="Arial" w:hAnsi="Arial"/>
                <w:sz w:val="16"/>
                <w:szCs w:val="16"/>
                <w:color w:val="auto"/>
                <w:w w:val="89"/>
              </w:rPr>
              <w:t>09/10/2015</w:t>
            </w:r>
          </w:p>
        </w:tc>
      </w:tr>
      <w:tr>
        <w:trPr>
          <w:trHeight w:val="204"/>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11/15/2017</w:t>
            </w:r>
          </w:p>
        </w:tc>
      </w:tr>
      <w:tr>
        <w:trPr>
          <w:trHeight w:val="36"/>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HME Technology</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5"/>
              </w:rPr>
              <w:t>Canada</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14/07/2016</w:t>
            </w:r>
          </w:p>
        </w:tc>
      </w:tr>
      <w:tr>
        <w:trPr>
          <w:trHeight w:val="179"/>
        </w:trPr>
        <w:tc>
          <w:tcPr>
            <w:tcW w:w="4780" w:type="dxa"/>
            <w:vAlign w:val="bottom"/>
            <w:gridSpan w:val="2"/>
          </w:tcPr>
          <w:p>
            <w:pPr>
              <w:jc w:val="center"/>
              <w:ind w:right="200"/>
              <w:spacing w:after="0" w:line="179" w:lineRule="exact"/>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line="179" w:lineRule="exact"/>
              <w:rPr>
                <w:sz w:val="20"/>
                <w:szCs w:val="20"/>
                <w:color w:val="auto"/>
              </w:rPr>
            </w:pPr>
            <w:r>
              <w:rPr>
                <w:rFonts w:ascii="Arial" w:cs="Arial" w:eastAsia="Arial" w:hAnsi="Arial"/>
                <w:sz w:val="16"/>
                <w:szCs w:val="16"/>
                <w:color w:val="auto"/>
                <w:w w:val="90"/>
              </w:rPr>
              <w:t>Ecuador</w:t>
            </w:r>
          </w:p>
        </w:tc>
        <w:tc>
          <w:tcPr>
            <w:tcW w:w="2160" w:type="dxa"/>
            <w:vAlign w:val="bottom"/>
          </w:tcPr>
          <w:p>
            <w:pPr>
              <w:jc w:val="center"/>
              <w:spacing w:after="0" w:line="179" w:lineRule="exact"/>
              <w:rPr>
                <w:sz w:val="20"/>
                <w:szCs w:val="20"/>
                <w:color w:val="auto"/>
              </w:rPr>
            </w:pPr>
            <w:r>
              <w:rPr>
                <w:rFonts w:ascii="Arial" w:cs="Arial" w:eastAsia="Arial" w:hAnsi="Arial"/>
                <w:sz w:val="16"/>
                <w:szCs w:val="16"/>
                <w:color w:val="auto"/>
                <w:w w:val="89"/>
              </w:rPr>
              <w:t>11/23/2016</w:t>
            </w:r>
          </w:p>
        </w:tc>
      </w:tr>
      <w:tr>
        <w:trPr>
          <w:trHeight w:val="204"/>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12/30/2016</w:t>
            </w:r>
          </w:p>
        </w:tc>
      </w:tr>
      <w:tr>
        <w:trPr>
          <w:trHeight w:val="36"/>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91"/>
              </w:rPr>
              <w:t>Blefadex Composition</w:t>
            </w:r>
          </w:p>
        </w:tc>
        <w:tc>
          <w:tcPr>
            <w:tcW w:w="2180" w:type="dxa"/>
            <w:vAlign w:val="bottom"/>
            <w:gridSpan w:val="2"/>
            <w:shd w:val="clear" w:color="auto" w:fill="CCEEFF"/>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160"/>
              <w:spacing w:after="0" w:line="179" w:lineRule="exact"/>
              <w:rPr>
                <w:sz w:val="20"/>
                <w:szCs w:val="20"/>
                <w:color w:val="auto"/>
              </w:rPr>
            </w:pPr>
            <w:r>
              <w:rPr>
                <w:rFonts w:ascii="Arial" w:cs="Arial" w:eastAsia="Arial" w:hAnsi="Arial"/>
                <w:sz w:val="16"/>
                <w:szCs w:val="16"/>
                <w:color w:val="auto"/>
                <w:w w:val="88"/>
              </w:rPr>
              <w:t>Peru</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06/27/2017</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09/15/2017</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El Salvador</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29/06/2017</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91"/>
              </w:rPr>
              <w:t>Blefadex Composition</w:t>
            </w:r>
          </w:p>
        </w:tc>
        <w:tc>
          <w:tcPr>
            <w:tcW w:w="2180" w:type="dxa"/>
            <w:vAlign w:val="bottom"/>
            <w:gridSpan w:val="2"/>
            <w:shd w:val="clear" w:color="auto" w:fill="CCEEFF"/>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140"/>
              <w:spacing w:after="0" w:line="179" w:lineRule="exact"/>
              <w:rPr>
                <w:sz w:val="20"/>
                <w:szCs w:val="20"/>
                <w:color w:val="auto"/>
              </w:rPr>
            </w:pPr>
            <w:r>
              <w:rPr>
                <w:rFonts w:ascii="Arial" w:cs="Arial" w:eastAsia="Arial" w:hAnsi="Arial"/>
                <w:sz w:val="16"/>
                <w:szCs w:val="16"/>
                <w:color w:val="auto"/>
                <w:w w:val="92"/>
              </w:rPr>
              <w:t>Dominican Republic</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06/29/2017</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06/15/2019</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Guatemala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03/07/2017</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HME Technology</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0"/>
              </w:rPr>
              <w:t>El Salvador</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05/07/2017</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HME Technology</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Guatemala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05/07/2017</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92"/>
              </w:rPr>
              <w:t>HME Technology</w:t>
            </w:r>
          </w:p>
        </w:tc>
        <w:tc>
          <w:tcPr>
            <w:tcW w:w="2180" w:type="dxa"/>
            <w:vAlign w:val="bottom"/>
            <w:gridSpan w:val="2"/>
            <w:shd w:val="clear" w:color="auto" w:fill="CCEEFF"/>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140"/>
              <w:spacing w:after="0" w:line="179" w:lineRule="exact"/>
              <w:rPr>
                <w:sz w:val="20"/>
                <w:szCs w:val="20"/>
                <w:color w:val="auto"/>
              </w:rPr>
            </w:pPr>
            <w:r>
              <w:rPr>
                <w:rFonts w:ascii="Arial" w:cs="Arial" w:eastAsia="Arial" w:hAnsi="Arial"/>
                <w:sz w:val="16"/>
                <w:szCs w:val="16"/>
                <w:color w:val="auto"/>
                <w:w w:val="94"/>
              </w:rPr>
              <w:t>Mexico</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07/05/2017</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11/09/2018</w:t>
            </w:r>
          </w:p>
        </w:tc>
      </w:tr>
      <w:tr>
        <w:trPr>
          <w:trHeight w:val="179"/>
        </w:trPr>
        <w:tc>
          <w:tcPr>
            <w:tcW w:w="4780" w:type="dxa"/>
            <w:vAlign w:val="bottom"/>
            <w:gridSpan w:val="2"/>
          </w:tcPr>
          <w:p>
            <w:pPr>
              <w:jc w:val="center"/>
              <w:ind w:right="200"/>
              <w:spacing w:after="0" w:line="179" w:lineRule="exact"/>
              <w:rPr>
                <w:sz w:val="20"/>
                <w:szCs w:val="20"/>
                <w:color w:val="auto"/>
              </w:rPr>
            </w:pPr>
            <w:r>
              <w:rPr>
                <w:rFonts w:ascii="Arial" w:cs="Arial" w:eastAsia="Arial" w:hAnsi="Arial"/>
                <w:sz w:val="16"/>
                <w:szCs w:val="16"/>
                <w:color w:val="auto"/>
                <w:w w:val="92"/>
              </w:rPr>
              <w:t>HME Technology</w:t>
            </w:r>
          </w:p>
        </w:tc>
        <w:tc>
          <w:tcPr>
            <w:tcW w:w="218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line="179" w:lineRule="exact"/>
              <w:rPr>
                <w:sz w:val="20"/>
                <w:szCs w:val="20"/>
                <w:color w:val="auto"/>
              </w:rPr>
            </w:pPr>
            <w:r>
              <w:rPr>
                <w:rFonts w:ascii="Arial" w:cs="Arial" w:eastAsia="Arial" w:hAnsi="Arial"/>
                <w:sz w:val="16"/>
                <w:szCs w:val="16"/>
                <w:color w:val="auto"/>
                <w:w w:val="88"/>
              </w:rPr>
              <w:t>Peru</w:t>
            </w:r>
          </w:p>
        </w:tc>
        <w:tc>
          <w:tcPr>
            <w:tcW w:w="2160" w:type="dxa"/>
            <w:vAlign w:val="bottom"/>
          </w:tcPr>
          <w:p>
            <w:pPr>
              <w:jc w:val="center"/>
              <w:spacing w:after="0" w:line="179" w:lineRule="exact"/>
              <w:rPr>
                <w:sz w:val="20"/>
                <w:szCs w:val="20"/>
                <w:color w:val="auto"/>
              </w:rPr>
            </w:pPr>
            <w:r>
              <w:rPr>
                <w:rFonts w:ascii="Arial" w:cs="Arial" w:eastAsia="Arial" w:hAnsi="Arial"/>
                <w:sz w:val="16"/>
                <w:szCs w:val="16"/>
                <w:color w:val="auto"/>
                <w:w w:val="89"/>
              </w:rPr>
              <w:t>07/05/2017</w:t>
            </w:r>
          </w:p>
        </w:tc>
      </w:tr>
      <w:tr>
        <w:trPr>
          <w:trHeight w:val="204"/>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09/05/2017</w:t>
            </w:r>
          </w:p>
        </w:tc>
      </w:tr>
      <w:tr>
        <w:trPr>
          <w:trHeight w:val="36"/>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92"/>
              </w:rPr>
              <w:t>HME Technology</w:t>
            </w:r>
          </w:p>
        </w:tc>
        <w:tc>
          <w:tcPr>
            <w:tcW w:w="2180" w:type="dxa"/>
            <w:vAlign w:val="bottom"/>
            <w:gridSpan w:val="2"/>
            <w:shd w:val="clear" w:color="auto" w:fill="CCEEFF"/>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160"/>
              <w:spacing w:after="0" w:line="179" w:lineRule="exact"/>
              <w:rPr>
                <w:sz w:val="20"/>
                <w:szCs w:val="20"/>
                <w:color w:val="auto"/>
              </w:rPr>
            </w:pPr>
            <w:r>
              <w:rPr>
                <w:rFonts w:ascii="Arial" w:cs="Arial" w:eastAsia="Arial" w:hAnsi="Arial"/>
                <w:sz w:val="16"/>
                <w:szCs w:val="16"/>
                <w:color w:val="auto"/>
                <w:w w:val="94"/>
              </w:rPr>
              <w:t>Brazil</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09/10/2015</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03/13/2018</w:t>
            </w:r>
          </w:p>
        </w:tc>
      </w:tr>
      <w:tr>
        <w:trPr>
          <w:trHeight w:val="179"/>
        </w:trPr>
        <w:tc>
          <w:tcPr>
            <w:tcW w:w="4780" w:type="dxa"/>
            <w:vAlign w:val="bottom"/>
            <w:gridSpan w:val="2"/>
          </w:tcPr>
          <w:p>
            <w:pPr>
              <w:jc w:val="center"/>
              <w:ind w:right="200"/>
              <w:spacing w:after="0" w:line="179" w:lineRule="exact"/>
              <w:rPr>
                <w:sz w:val="20"/>
                <w:szCs w:val="20"/>
                <w:color w:val="auto"/>
              </w:rPr>
            </w:pPr>
            <w:r>
              <w:rPr>
                <w:rFonts w:ascii="Arial" w:cs="Arial" w:eastAsia="Arial" w:hAnsi="Arial"/>
                <w:sz w:val="16"/>
                <w:szCs w:val="16"/>
                <w:color w:val="auto"/>
                <w:w w:val="92"/>
              </w:rPr>
              <w:t>HME Technology</w:t>
            </w:r>
          </w:p>
        </w:tc>
        <w:tc>
          <w:tcPr>
            <w:tcW w:w="218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92"/>
              </w:rPr>
              <w:t>Dominican Republic</w:t>
            </w:r>
          </w:p>
        </w:tc>
        <w:tc>
          <w:tcPr>
            <w:tcW w:w="2160" w:type="dxa"/>
            <w:vAlign w:val="bottom"/>
          </w:tcPr>
          <w:p>
            <w:pPr>
              <w:jc w:val="center"/>
              <w:spacing w:after="0" w:line="179" w:lineRule="exact"/>
              <w:rPr>
                <w:sz w:val="20"/>
                <w:szCs w:val="20"/>
                <w:color w:val="auto"/>
              </w:rPr>
            </w:pPr>
            <w:r>
              <w:rPr>
                <w:rFonts w:ascii="Arial" w:cs="Arial" w:eastAsia="Arial" w:hAnsi="Arial"/>
                <w:sz w:val="16"/>
                <w:szCs w:val="16"/>
                <w:color w:val="auto"/>
                <w:w w:val="89"/>
              </w:rPr>
              <w:t>07/06/2017</w:t>
            </w:r>
          </w:p>
        </w:tc>
      </w:tr>
      <w:tr>
        <w:trPr>
          <w:trHeight w:val="204"/>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11/15/2018</w:t>
            </w:r>
          </w:p>
        </w:tc>
      </w:tr>
      <w:tr>
        <w:trPr>
          <w:trHeight w:val="36"/>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HME Technology</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0"/>
              </w:rPr>
              <w:t>Ecuador</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19/07/2017</w:t>
            </w:r>
          </w:p>
        </w:tc>
      </w:tr>
      <w:tr>
        <w:trPr>
          <w:trHeight w:val="179"/>
        </w:trPr>
        <w:tc>
          <w:tcPr>
            <w:tcW w:w="4780" w:type="dxa"/>
            <w:vAlign w:val="bottom"/>
            <w:gridSpan w:val="2"/>
          </w:tcPr>
          <w:p>
            <w:pPr>
              <w:jc w:val="center"/>
              <w:ind w:right="200"/>
              <w:spacing w:after="0" w:line="179" w:lineRule="exact"/>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line="179" w:lineRule="exact"/>
              <w:rPr>
                <w:sz w:val="20"/>
                <w:szCs w:val="20"/>
                <w:color w:val="auto"/>
              </w:rPr>
            </w:pPr>
            <w:r>
              <w:rPr>
                <w:rFonts w:ascii="Arial" w:cs="Arial" w:eastAsia="Arial" w:hAnsi="Arial"/>
                <w:sz w:val="16"/>
                <w:szCs w:val="16"/>
                <w:color w:val="auto"/>
                <w:w w:val="89"/>
              </w:rPr>
              <w:t>Europe</w:t>
            </w:r>
          </w:p>
        </w:tc>
        <w:tc>
          <w:tcPr>
            <w:tcW w:w="2160" w:type="dxa"/>
            <w:vAlign w:val="bottom"/>
          </w:tcPr>
          <w:p>
            <w:pPr>
              <w:jc w:val="center"/>
              <w:spacing w:after="0" w:line="179" w:lineRule="exact"/>
              <w:rPr>
                <w:sz w:val="20"/>
                <w:szCs w:val="20"/>
                <w:color w:val="auto"/>
              </w:rPr>
            </w:pPr>
            <w:r>
              <w:rPr>
                <w:rFonts w:ascii="Arial" w:cs="Arial" w:eastAsia="Arial" w:hAnsi="Arial"/>
                <w:sz w:val="16"/>
                <w:szCs w:val="16"/>
                <w:color w:val="auto"/>
                <w:w w:val="89"/>
              </w:rPr>
              <w:t>07/27/2017</w:t>
            </w:r>
          </w:p>
        </w:tc>
      </w:tr>
      <w:tr>
        <w:trPr>
          <w:trHeight w:val="204"/>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12/06/2017</w:t>
            </w:r>
          </w:p>
        </w:tc>
      </w:tr>
      <w:tr>
        <w:trPr>
          <w:trHeight w:val="36"/>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Sweetener Composition for Gummies</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United States</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07/21/2021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Face Mask</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06/26/2020</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92"/>
              </w:rPr>
              <w:t>HME Technology</w:t>
            </w:r>
          </w:p>
        </w:tc>
        <w:tc>
          <w:tcPr>
            <w:tcW w:w="2180" w:type="dxa"/>
            <w:vAlign w:val="bottom"/>
            <w:gridSpan w:val="2"/>
            <w:shd w:val="clear" w:color="auto" w:fill="CCEEFF"/>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160"/>
              <w:spacing w:after="0" w:line="179" w:lineRule="exact"/>
              <w:rPr>
                <w:sz w:val="20"/>
                <w:szCs w:val="20"/>
                <w:color w:val="auto"/>
              </w:rPr>
            </w:pPr>
            <w:r>
              <w:rPr>
                <w:rFonts w:ascii="Arial" w:cs="Arial" w:eastAsia="Arial" w:hAnsi="Arial"/>
                <w:sz w:val="16"/>
                <w:szCs w:val="16"/>
                <w:color w:val="auto"/>
                <w:w w:val="88"/>
              </w:rPr>
              <w:t>Korea</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08/02/2017</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09/17/2018</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13/02/2019</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United States</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13/02/2019</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13/02/2020</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90"/>
              </w:rPr>
              <w:t>SGC Drying System</w:t>
            </w:r>
          </w:p>
        </w:tc>
        <w:tc>
          <w:tcPr>
            <w:tcW w:w="2180" w:type="dxa"/>
            <w:vAlign w:val="bottom"/>
            <w:gridSpan w:val="2"/>
            <w:shd w:val="clear" w:color="auto" w:fill="CCEEFF"/>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160"/>
              <w:spacing w:after="0" w:line="179" w:lineRule="exact"/>
              <w:rPr>
                <w:sz w:val="20"/>
                <w:szCs w:val="20"/>
                <w:color w:val="auto"/>
              </w:rPr>
            </w:pPr>
            <w:r>
              <w:rPr>
                <w:rFonts w:ascii="Arial" w:cs="Arial" w:eastAsia="Arial" w:hAnsi="Arial"/>
                <w:sz w:val="16"/>
                <w:szCs w:val="16"/>
                <w:color w:val="auto"/>
                <w:w w:val="89"/>
              </w:rPr>
              <w:t>United States</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12/21/2016</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12/21/2017</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08/19/2018</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03/28/2019</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10/21/2019</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06/06/2020</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01/14/2021</w:t>
            </w:r>
          </w:p>
        </w:tc>
      </w:tr>
      <w:tr>
        <w:trPr>
          <w:trHeight w:val="179"/>
        </w:trPr>
        <w:tc>
          <w:tcPr>
            <w:tcW w:w="4780" w:type="dxa"/>
            <w:vAlign w:val="bottom"/>
            <w:gridSpan w:val="2"/>
          </w:tcPr>
          <w:p>
            <w:pPr>
              <w:jc w:val="center"/>
              <w:ind w:right="200"/>
              <w:spacing w:after="0" w:line="179" w:lineRule="exact"/>
              <w:rPr>
                <w:sz w:val="20"/>
                <w:szCs w:val="20"/>
                <w:color w:val="auto"/>
              </w:rPr>
            </w:pPr>
            <w:r>
              <w:rPr>
                <w:rFonts w:ascii="Arial" w:cs="Arial" w:eastAsia="Arial" w:hAnsi="Arial"/>
                <w:sz w:val="16"/>
                <w:szCs w:val="16"/>
                <w:color w:val="auto"/>
                <w:w w:val="89"/>
              </w:rPr>
              <w:t>Electronic Dosage Dispensing System</w:t>
            </w:r>
          </w:p>
        </w:tc>
        <w:tc>
          <w:tcPr>
            <w:tcW w:w="218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line="179" w:lineRule="exact"/>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line="179" w:lineRule="exact"/>
              <w:rPr>
                <w:sz w:val="20"/>
                <w:szCs w:val="20"/>
                <w:color w:val="auto"/>
              </w:rPr>
            </w:pPr>
            <w:r>
              <w:rPr>
                <w:rFonts w:ascii="Arial" w:cs="Arial" w:eastAsia="Arial" w:hAnsi="Arial"/>
                <w:sz w:val="16"/>
                <w:szCs w:val="16"/>
                <w:color w:val="auto"/>
                <w:w w:val="89"/>
              </w:rPr>
              <w:t>05/25/2012</w:t>
            </w:r>
          </w:p>
        </w:tc>
      </w:tr>
      <w:tr>
        <w:trPr>
          <w:trHeight w:val="191"/>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05/28/2013</w:t>
            </w:r>
          </w:p>
        </w:tc>
      </w:tr>
      <w:tr>
        <w:trPr>
          <w:trHeight w:val="191"/>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06/12/2017</w:t>
            </w:r>
          </w:p>
        </w:tc>
      </w:tr>
      <w:tr>
        <w:trPr>
          <w:trHeight w:val="191"/>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04/03/2020</w:t>
            </w:r>
          </w:p>
        </w:tc>
      </w:tr>
      <w:tr>
        <w:trPr>
          <w:trHeight w:val="204"/>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11/11/2020</w:t>
            </w:r>
          </w:p>
        </w:tc>
      </w:tr>
      <w:tr>
        <w:trPr>
          <w:trHeight w:val="36"/>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8"/>
              </w:rPr>
              <w:t>Vegan Gummies</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3"/>
              </w:rPr>
              <w:t>PCT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30/08/2019</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Face Mask</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PCT</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06/25/2021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Unigel Products (Diclofenac)</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United States</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23/07/2020</w:t>
            </w:r>
          </w:p>
        </w:tc>
      </w:tr>
      <w:tr>
        <w:trPr>
          <w:trHeight w:val="577"/>
        </w:trPr>
        <w:tc>
          <w:tcPr>
            <w:tcW w:w="4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020"/>
              <w:spacing w:after="0"/>
              <w:rPr>
                <w:sz w:val="20"/>
                <w:szCs w:val="20"/>
                <w:color w:val="auto"/>
              </w:rPr>
            </w:pPr>
            <w:r>
              <w:rPr>
                <w:rFonts w:ascii="Arial" w:cs="Arial" w:eastAsia="Arial" w:hAnsi="Arial"/>
                <w:sz w:val="16"/>
                <w:szCs w:val="16"/>
                <w:color w:val="auto"/>
              </w:rPr>
              <w:t>45</w:t>
            </w: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6" w:right="31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4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92"/>
              </w:rPr>
              <w:t>Ivermectin SGC Formula</w:t>
            </w:r>
          </w:p>
        </w:tc>
        <w:tc>
          <w:tcPr>
            <w:tcW w:w="244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6"/>
              </w:rPr>
              <w:t>Patent</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PCT</w:t>
            </w:r>
          </w:p>
        </w:tc>
        <w:tc>
          <w:tcPr>
            <w:tcW w:w="2160" w:type="dxa"/>
            <w:vAlign w:val="bottom"/>
            <w:shd w:val="clear" w:color="auto" w:fill="CCEEFF"/>
          </w:tcPr>
          <w:p>
            <w:pPr>
              <w:jc w:val="right"/>
              <w:ind w:right="640"/>
              <w:spacing w:after="0"/>
              <w:rPr>
                <w:sz w:val="20"/>
                <w:szCs w:val="20"/>
                <w:color w:val="auto"/>
              </w:rPr>
            </w:pPr>
            <w:r>
              <w:rPr>
                <w:rFonts w:ascii="Arial" w:cs="Arial" w:eastAsia="Arial" w:hAnsi="Arial"/>
                <w:sz w:val="16"/>
                <w:szCs w:val="16"/>
                <w:color w:val="auto"/>
              </w:rPr>
              <w:t>30/09/2020</w:t>
            </w:r>
          </w:p>
        </w:tc>
      </w:tr>
      <w:tr>
        <w:trPr>
          <w:trHeight w:val="204"/>
        </w:trPr>
        <w:tc>
          <w:tcPr>
            <w:tcW w:w="4440" w:type="dxa"/>
            <w:vAlign w:val="bottom"/>
          </w:tcPr>
          <w:p>
            <w:pPr>
              <w:jc w:val="center"/>
              <w:ind w:left="60"/>
              <w:spacing w:after="0"/>
              <w:rPr>
                <w:sz w:val="20"/>
                <w:szCs w:val="20"/>
                <w:color w:val="auto"/>
              </w:rPr>
            </w:pPr>
            <w:r>
              <w:rPr>
                <w:rFonts w:ascii="Arial" w:cs="Arial" w:eastAsia="Arial" w:hAnsi="Arial"/>
                <w:sz w:val="16"/>
                <w:szCs w:val="16"/>
                <w:color w:val="auto"/>
                <w:w w:val="92"/>
              </w:rPr>
              <w:t>Device for Gummies</w:t>
            </w:r>
          </w:p>
        </w:tc>
        <w:tc>
          <w:tcPr>
            <w:tcW w:w="2440" w:type="dxa"/>
            <w:vAlign w:val="bottom"/>
          </w:tcPr>
          <w:p>
            <w:pPr>
              <w:jc w:val="center"/>
              <w:ind w:left="200"/>
              <w:spacing w:after="0"/>
              <w:rPr>
                <w:sz w:val="20"/>
                <w:szCs w:val="20"/>
                <w:color w:val="auto"/>
              </w:rPr>
            </w:pPr>
            <w:r>
              <w:rPr>
                <w:rFonts w:ascii="Arial" w:cs="Arial" w:eastAsia="Arial" w:hAnsi="Arial"/>
                <w:sz w:val="16"/>
                <w:szCs w:val="16"/>
                <w:color w:val="auto"/>
              </w:rPr>
              <w:t>Utility Model</w:t>
            </w:r>
          </w:p>
        </w:tc>
        <w:tc>
          <w:tcPr>
            <w:tcW w:w="2220" w:type="dxa"/>
            <w:vAlign w:val="bottom"/>
          </w:tcPr>
          <w:p>
            <w:pPr>
              <w:jc w:val="center"/>
              <w:spacing w:after="0"/>
              <w:rPr>
                <w:sz w:val="20"/>
                <w:szCs w:val="20"/>
                <w:color w:val="auto"/>
              </w:rPr>
            </w:pPr>
            <w:r>
              <w:rPr>
                <w:rFonts w:ascii="Arial" w:cs="Arial" w:eastAsia="Arial" w:hAnsi="Arial"/>
                <w:sz w:val="16"/>
                <w:szCs w:val="16"/>
                <w:color w:val="auto"/>
                <w:w w:val="91"/>
              </w:rPr>
              <w:t>Colombia</w:t>
            </w:r>
          </w:p>
        </w:tc>
        <w:tc>
          <w:tcPr>
            <w:tcW w:w="2160" w:type="dxa"/>
            <w:vAlign w:val="bottom"/>
          </w:tcPr>
          <w:p>
            <w:pPr>
              <w:jc w:val="right"/>
              <w:ind w:right="640"/>
              <w:spacing w:after="0"/>
              <w:rPr>
                <w:sz w:val="20"/>
                <w:szCs w:val="20"/>
                <w:color w:val="auto"/>
              </w:rPr>
            </w:pPr>
            <w:r>
              <w:rPr>
                <w:rFonts w:ascii="Arial" w:cs="Arial" w:eastAsia="Arial" w:hAnsi="Arial"/>
                <w:sz w:val="16"/>
                <w:szCs w:val="16"/>
                <w:color w:val="auto"/>
              </w:rPr>
              <w:t>11/09/2021</w:t>
            </w:r>
          </w:p>
        </w:tc>
      </w:tr>
      <w:tr>
        <w:trPr>
          <w:trHeight w:val="23"/>
        </w:trPr>
        <w:tc>
          <w:tcPr>
            <w:tcW w:w="44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440" w:type="dxa"/>
            <w:vAlign w:val="bottom"/>
            <w:tcBorders>
              <w:bottom w:val="single" w:sz="8" w:color="CCEEFF"/>
            </w:tcBorders>
            <w:shd w:val="clear" w:color="auto" w:fill="CCEEFF"/>
          </w:tcPr>
          <w:p>
            <w:pPr>
              <w:jc w:val="center"/>
              <w:ind w:left="60"/>
              <w:spacing w:after="0"/>
              <w:rPr>
                <w:sz w:val="20"/>
                <w:szCs w:val="20"/>
                <w:color w:val="auto"/>
              </w:rPr>
            </w:pPr>
            <w:r>
              <w:rPr>
                <w:rFonts w:ascii="Arial" w:cs="Arial" w:eastAsia="Arial" w:hAnsi="Arial"/>
                <w:sz w:val="16"/>
                <w:szCs w:val="16"/>
                <w:color w:val="auto"/>
                <w:w w:val="92"/>
              </w:rPr>
              <w:t>Ivermectin Oral Solution</w:t>
            </w:r>
          </w:p>
        </w:tc>
        <w:tc>
          <w:tcPr>
            <w:tcW w:w="2440" w:type="dxa"/>
            <w:vAlign w:val="bottom"/>
            <w:tcBorders>
              <w:bottom w:val="single" w:sz="8" w:color="CCEEFF"/>
            </w:tcBorders>
            <w:shd w:val="clear" w:color="auto" w:fill="CCEEFF"/>
          </w:tcPr>
          <w:p>
            <w:pPr>
              <w:jc w:val="center"/>
              <w:ind w:left="200"/>
              <w:spacing w:after="0"/>
              <w:rPr>
                <w:sz w:val="20"/>
                <w:szCs w:val="20"/>
                <w:color w:val="auto"/>
              </w:rPr>
            </w:pPr>
            <w:r>
              <w:rPr>
                <w:rFonts w:ascii="Arial" w:cs="Arial" w:eastAsia="Arial" w:hAnsi="Arial"/>
                <w:sz w:val="16"/>
                <w:szCs w:val="16"/>
                <w:color w:val="auto"/>
                <w:w w:val="86"/>
              </w:rPr>
              <w:t>Patent</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PCT</w:t>
            </w:r>
          </w:p>
        </w:tc>
        <w:tc>
          <w:tcPr>
            <w:tcW w:w="2160" w:type="dxa"/>
            <w:vAlign w:val="bottom"/>
            <w:tcBorders>
              <w:bottom w:val="single" w:sz="8" w:color="CCEEFF"/>
            </w:tcBorders>
            <w:shd w:val="clear" w:color="auto" w:fill="CCEEFF"/>
          </w:tcPr>
          <w:p>
            <w:pPr>
              <w:jc w:val="right"/>
              <w:ind w:right="640"/>
              <w:spacing w:after="0"/>
              <w:rPr>
                <w:sz w:val="20"/>
                <w:szCs w:val="20"/>
                <w:color w:val="auto"/>
              </w:rPr>
            </w:pPr>
            <w:r>
              <w:rPr>
                <w:rFonts w:ascii="Arial" w:cs="Arial" w:eastAsia="Arial" w:hAnsi="Arial"/>
                <w:sz w:val="16"/>
                <w:szCs w:val="16"/>
                <w:color w:val="auto"/>
              </w:rPr>
              <w:t>30/12/2020</w:t>
            </w:r>
          </w:p>
        </w:tc>
      </w:tr>
      <w:tr>
        <w:trPr>
          <w:trHeight w:val="204"/>
        </w:trPr>
        <w:tc>
          <w:tcPr>
            <w:tcW w:w="4440" w:type="dxa"/>
            <w:vAlign w:val="bottom"/>
          </w:tcPr>
          <w:p>
            <w:pPr>
              <w:jc w:val="center"/>
              <w:ind w:left="60"/>
              <w:spacing w:after="0"/>
              <w:rPr>
                <w:sz w:val="20"/>
                <w:szCs w:val="20"/>
                <w:color w:val="auto"/>
              </w:rPr>
            </w:pPr>
            <w:r>
              <w:rPr>
                <w:rFonts w:ascii="Arial" w:cs="Arial" w:eastAsia="Arial" w:hAnsi="Arial"/>
                <w:sz w:val="16"/>
                <w:szCs w:val="16"/>
                <w:color w:val="auto"/>
                <w:w w:val="92"/>
              </w:rPr>
              <w:t>Unigel Technology</w:t>
            </w:r>
          </w:p>
        </w:tc>
        <w:tc>
          <w:tcPr>
            <w:tcW w:w="2440" w:type="dxa"/>
            <w:vAlign w:val="bottom"/>
          </w:tcPr>
          <w:p>
            <w:pPr>
              <w:jc w:val="center"/>
              <w:ind w:left="200"/>
              <w:spacing w:after="0"/>
              <w:rPr>
                <w:sz w:val="20"/>
                <w:szCs w:val="20"/>
                <w:color w:val="auto"/>
              </w:rPr>
            </w:pPr>
            <w:r>
              <w:rPr>
                <w:rFonts w:ascii="Arial" w:cs="Arial" w:eastAsia="Arial" w:hAnsi="Arial"/>
                <w:sz w:val="16"/>
                <w:szCs w:val="16"/>
                <w:color w:val="auto"/>
                <w:w w:val="86"/>
              </w:rPr>
              <w:t>Patent</w:t>
            </w:r>
          </w:p>
        </w:tc>
        <w:tc>
          <w:tcPr>
            <w:tcW w:w="222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2160" w:type="dxa"/>
            <w:vAlign w:val="bottom"/>
          </w:tcPr>
          <w:p>
            <w:pPr>
              <w:jc w:val="right"/>
              <w:ind w:right="640"/>
              <w:spacing w:after="0"/>
              <w:rPr>
                <w:sz w:val="20"/>
                <w:szCs w:val="20"/>
                <w:color w:val="auto"/>
              </w:rPr>
            </w:pPr>
            <w:r>
              <w:rPr>
                <w:rFonts w:ascii="Arial" w:cs="Arial" w:eastAsia="Arial" w:hAnsi="Arial"/>
                <w:sz w:val="16"/>
                <w:szCs w:val="16"/>
                <w:color w:val="auto"/>
              </w:rPr>
              <w:t>19/03/2021</w:t>
            </w:r>
          </w:p>
        </w:tc>
      </w:tr>
      <w:tr>
        <w:trPr>
          <w:trHeight w:val="23"/>
        </w:trPr>
        <w:tc>
          <w:tcPr>
            <w:tcW w:w="44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9"/>
        </w:trPr>
        <w:tc>
          <w:tcPr>
            <w:tcW w:w="4440" w:type="dxa"/>
            <w:vAlign w:val="bottom"/>
            <w:shd w:val="clear" w:color="auto" w:fill="CCEEFF"/>
          </w:tcPr>
          <w:p>
            <w:pPr>
              <w:jc w:val="center"/>
              <w:ind w:left="60"/>
              <w:spacing w:after="0" w:line="179" w:lineRule="exact"/>
              <w:rPr>
                <w:sz w:val="20"/>
                <w:szCs w:val="20"/>
                <w:color w:val="auto"/>
              </w:rPr>
            </w:pPr>
            <w:r>
              <w:rPr>
                <w:rFonts w:ascii="Arial" w:cs="Arial" w:eastAsia="Arial" w:hAnsi="Arial"/>
                <w:sz w:val="16"/>
                <w:szCs w:val="16"/>
                <w:color w:val="auto"/>
                <w:w w:val="92"/>
              </w:rPr>
              <w:t>Unigel Technology</w:t>
            </w:r>
          </w:p>
        </w:tc>
        <w:tc>
          <w:tcPr>
            <w:tcW w:w="2440" w:type="dxa"/>
            <w:vAlign w:val="bottom"/>
            <w:shd w:val="clear" w:color="auto" w:fill="CCEEFF"/>
          </w:tcPr>
          <w:p>
            <w:pPr>
              <w:jc w:val="center"/>
              <w:ind w:left="200"/>
              <w:spacing w:after="0" w:line="179" w:lineRule="exact"/>
              <w:rPr>
                <w:sz w:val="20"/>
                <w:szCs w:val="20"/>
                <w:color w:val="auto"/>
              </w:rPr>
            </w:pPr>
            <w:r>
              <w:rPr>
                <w:rFonts w:ascii="Arial" w:cs="Arial" w:eastAsia="Arial" w:hAnsi="Arial"/>
                <w:sz w:val="16"/>
                <w:szCs w:val="16"/>
                <w:color w:val="auto"/>
                <w:w w:val="86"/>
              </w:rPr>
              <w:t>Patent</w:t>
            </w:r>
          </w:p>
        </w:tc>
        <w:tc>
          <w:tcPr>
            <w:tcW w:w="222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94"/>
              </w:rPr>
              <w:t>Mexico</w:t>
            </w:r>
          </w:p>
        </w:tc>
        <w:tc>
          <w:tcPr>
            <w:tcW w:w="2160" w:type="dxa"/>
            <w:vAlign w:val="bottom"/>
            <w:shd w:val="clear" w:color="auto" w:fill="CCEEFF"/>
          </w:tcPr>
          <w:p>
            <w:pPr>
              <w:jc w:val="right"/>
              <w:ind w:right="640"/>
              <w:spacing w:after="0" w:line="179" w:lineRule="exact"/>
              <w:rPr>
                <w:sz w:val="20"/>
                <w:szCs w:val="20"/>
                <w:color w:val="auto"/>
              </w:rPr>
            </w:pPr>
            <w:r>
              <w:rPr>
                <w:rFonts w:ascii="Arial" w:cs="Arial" w:eastAsia="Arial" w:hAnsi="Arial"/>
                <w:sz w:val="16"/>
                <w:szCs w:val="16"/>
                <w:color w:val="auto"/>
              </w:rPr>
              <w:t>05/11/2015</w:t>
            </w:r>
          </w:p>
        </w:tc>
      </w:tr>
      <w:tr>
        <w:trPr>
          <w:trHeight w:val="220"/>
        </w:trPr>
        <w:tc>
          <w:tcPr>
            <w:tcW w:w="4440" w:type="dxa"/>
            <w:vAlign w:val="bottom"/>
            <w:tcBorders>
              <w:bottom w:val="single" w:sz="8" w:color="CCEEFF"/>
            </w:tcBorders>
            <w:shd w:val="clear" w:color="auto" w:fill="CCEEFF"/>
          </w:tcPr>
          <w:p>
            <w:pPr>
              <w:spacing w:after="0"/>
              <w:rPr>
                <w:sz w:val="19"/>
                <w:szCs w:val="19"/>
                <w:color w:val="auto"/>
              </w:rPr>
            </w:pPr>
          </w:p>
        </w:tc>
        <w:tc>
          <w:tcPr>
            <w:tcW w:w="244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ind w:right="640"/>
              <w:spacing w:after="0"/>
              <w:rPr>
                <w:sz w:val="20"/>
                <w:szCs w:val="20"/>
                <w:color w:val="auto"/>
              </w:rPr>
            </w:pPr>
            <w:r>
              <w:rPr>
                <w:rFonts w:ascii="Arial" w:cs="Arial" w:eastAsia="Arial" w:hAnsi="Arial"/>
                <w:sz w:val="16"/>
                <w:szCs w:val="16"/>
                <w:color w:val="auto"/>
              </w:rPr>
              <w:t>22/06/2021</w:t>
            </w:r>
          </w:p>
        </w:tc>
      </w:tr>
      <w:tr>
        <w:trPr>
          <w:trHeight w:val="204"/>
        </w:trPr>
        <w:tc>
          <w:tcPr>
            <w:tcW w:w="4440" w:type="dxa"/>
            <w:vAlign w:val="bottom"/>
          </w:tcPr>
          <w:p>
            <w:pPr>
              <w:jc w:val="center"/>
              <w:ind w:left="60"/>
              <w:spacing w:after="0"/>
              <w:rPr>
                <w:sz w:val="20"/>
                <w:szCs w:val="20"/>
                <w:color w:val="auto"/>
              </w:rPr>
            </w:pPr>
            <w:r>
              <w:rPr>
                <w:rFonts w:ascii="Arial" w:cs="Arial" w:eastAsia="Arial" w:hAnsi="Arial"/>
                <w:sz w:val="16"/>
                <w:szCs w:val="16"/>
                <w:color w:val="auto"/>
                <w:w w:val="90"/>
              </w:rPr>
              <w:t>Poole Sample</w:t>
            </w:r>
          </w:p>
        </w:tc>
        <w:tc>
          <w:tcPr>
            <w:tcW w:w="2440" w:type="dxa"/>
            <w:vAlign w:val="bottom"/>
          </w:tcPr>
          <w:p>
            <w:pPr>
              <w:jc w:val="center"/>
              <w:ind w:left="200"/>
              <w:spacing w:after="0"/>
              <w:rPr>
                <w:sz w:val="20"/>
                <w:szCs w:val="20"/>
                <w:color w:val="auto"/>
              </w:rPr>
            </w:pPr>
            <w:r>
              <w:rPr>
                <w:rFonts w:ascii="Arial" w:cs="Arial" w:eastAsia="Arial" w:hAnsi="Arial"/>
                <w:sz w:val="16"/>
                <w:szCs w:val="16"/>
                <w:color w:val="auto"/>
              </w:rPr>
              <w:t>Utility Model</w:t>
            </w:r>
          </w:p>
        </w:tc>
        <w:tc>
          <w:tcPr>
            <w:tcW w:w="2220" w:type="dxa"/>
            <w:vAlign w:val="bottom"/>
          </w:tcPr>
          <w:p>
            <w:pPr>
              <w:jc w:val="center"/>
              <w:spacing w:after="0"/>
              <w:rPr>
                <w:sz w:val="20"/>
                <w:szCs w:val="20"/>
                <w:color w:val="auto"/>
              </w:rPr>
            </w:pPr>
            <w:r>
              <w:rPr>
                <w:rFonts w:ascii="Arial" w:cs="Arial" w:eastAsia="Arial" w:hAnsi="Arial"/>
                <w:sz w:val="16"/>
                <w:szCs w:val="16"/>
                <w:color w:val="auto"/>
                <w:w w:val="91"/>
              </w:rPr>
              <w:t>Colombia</w:t>
            </w:r>
          </w:p>
        </w:tc>
        <w:tc>
          <w:tcPr>
            <w:tcW w:w="2160" w:type="dxa"/>
            <w:vAlign w:val="bottom"/>
          </w:tcPr>
          <w:p>
            <w:pPr>
              <w:jc w:val="right"/>
              <w:ind w:right="640"/>
              <w:spacing w:after="0"/>
              <w:rPr>
                <w:sz w:val="20"/>
                <w:szCs w:val="20"/>
                <w:color w:val="auto"/>
              </w:rPr>
            </w:pPr>
            <w:r>
              <w:rPr>
                <w:rFonts w:ascii="Arial" w:cs="Arial" w:eastAsia="Arial" w:hAnsi="Arial"/>
                <w:sz w:val="16"/>
                <w:szCs w:val="16"/>
                <w:color w:val="auto"/>
              </w:rPr>
              <w:t>07/28/2021</w:t>
            </w:r>
          </w:p>
        </w:tc>
      </w:tr>
      <w:tr>
        <w:trPr>
          <w:trHeight w:val="23"/>
        </w:trPr>
        <w:tc>
          <w:tcPr>
            <w:tcW w:w="44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440" w:type="dxa"/>
            <w:vAlign w:val="bottom"/>
            <w:tcBorders>
              <w:bottom w:val="single" w:sz="8" w:color="CCEEFF"/>
            </w:tcBorders>
            <w:shd w:val="clear" w:color="auto" w:fill="CCEEFF"/>
          </w:tcPr>
          <w:p>
            <w:pPr>
              <w:jc w:val="center"/>
              <w:ind w:left="60"/>
              <w:spacing w:after="0"/>
              <w:rPr>
                <w:sz w:val="20"/>
                <w:szCs w:val="20"/>
                <w:color w:val="auto"/>
              </w:rPr>
            </w:pPr>
            <w:r>
              <w:rPr>
                <w:rFonts w:ascii="Arial" w:cs="Arial" w:eastAsia="Arial" w:hAnsi="Arial"/>
                <w:sz w:val="16"/>
                <w:szCs w:val="16"/>
                <w:color w:val="auto"/>
                <w:w w:val="90"/>
              </w:rPr>
              <w:t>Clean Device for Soft gelatin capsules</w:t>
            </w:r>
          </w:p>
        </w:tc>
        <w:tc>
          <w:tcPr>
            <w:tcW w:w="2440" w:type="dxa"/>
            <w:vAlign w:val="bottom"/>
            <w:tcBorders>
              <w:bottom w:val="single" w:sz="8" w:color="CCEEFF"/>
            </w:tcBorders>
            <w:shd w:val="clear" w:color="auto" w:fill="CCEEFF"/>
          </w:tcPr>
          <w:p>
            <w:pPr>
              <w:jc w:val="center"/>
              <w:ind w:left="200"/>
              <w:spacing w:after="0"/>
              <w:rPr>
                <w:sz w:val="20"/>
                <w:szCs w:val="20"/>
                <w:color w:val="auto"/>
              </w:rPr>
            </w:pPr>
            <w:r>
              <w:rPr>
                <w:rFonts w:ascii="Arial" w:cs="Arial" w:eastAsia="Arial" w:hAnsi="Arial"/>
                <w:sz w:val="16"/>
                <w:szCs w:val="16"/>
                <w:color w:val="auto"/>
              </w:rPr>
              <w:t>Utility Model</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Colombia</w:t>
            </w:r>
          </w:p>
        </w:tc>
        <w:tc>
          <w:tcPr>
            <w:tcW w:w="2160" w:type="dxa"/>
            <w:vAlign w:val="bottom"/>
            <w:tcBorders>
              <w:bottom w:val="single" w:sz="8" w:color="CCEEFF"/>
            </w:tcBorders>
            <w:shd w:val="clear" w:color="auto" w:fill="CCEEFF"/>
          </w:tcPr>
          <w:p>
            <w:pPr>
              <w:jc w:val="right"/>
              <w:ind w:right="640"/>
              <w:spacing w:after="0"/>
              <w:rPr>
                <w:sz w:val="20"/>
                <w:szCs w:val="20"/>
                <w:color w:val="auto"/>
              </w:rPr>
            </w:pPr>
            <w:r>
              <w:rPr>
                <w:rFonts w:ascii="Arial" w:cs="Arial" w:eastAsia="Arial" w:hAnsi="Arial"/>
                <w:sz w:val="16"/>
                <w:szCs w:val="16"/>
                <w:color w:val="auto"/>
              </w:rPr>
              <w:t>08/13/2021</w:t>
            </w:r>
          </w:p>
        </w:tc>
      </w:tr>
      <w:tr>
        <w:trPr>
          <w:trHeight w:val="204"/>
        </w:trPr>
        <w:tc>
          <w:tcPr>
            <w:tcW w:w="4440" w:type="dxa"/>
            <w:vAlign w:val="bottom"/>
          </w:tcPr>
          <w:p>
            <w:pPr>
              <w:jc w:val="center"/>
              <w:ind w:left="60"/>
              <w:spacing w:after="0"/>
              <w:rPr>
                <w:sz w:val="20"/>
                <w:szCs w:val="20"/>
                <w:color w:val="auto"/>
              </w:rPr>
            </w:pPr>
            <w:r>
              <w:rPr>
                <w:rFonts w:ascii="Arial" w:cs="Arial" w:eastAsia="Arial" w:hAnsi="Arial"/>
                <w:sz w:val="16"/>
                <w:szCs w:val="16"/>
                <w:color w:val="auto"/>
                <w:w w:val="88"/>
              </w:rPr>
              <w:t>Vegan Gummies</w:t>
            </w:r>
          </w:p>
        </w:tc>
        <w:tc>
          <w:tcPr>
            <w:tcW w:w="2440" w:type="dxa"/>
            <w:vAlign w:val="bottom"/>
          </w:tcPr>
          <w:p>
            <w:pPr>
              <w:jc w:val="center"/>
              <w:ind w:left="200"/>
              <w:spacing w:after="0"/>
              <w:rPr>
                <w:sz w:val="20"/>
                <w:szCs w:val="20"/>
                <w:color w:val="auto"/>
              </w:rPr>
            </w:pPr>
            <w:r>
              <w:rPr>
                <w:rFonts w:ascii="Arial" w:cs="Arial" w:eastAsia="Arial" w:hAnsi="Arial"/>
                <w:sz w:val="16"/>
                <w:szCs w:val="16"/>
                <w:color w:val="auto"/>
                <w:w w:val="86"/>
              </w:rPr>
              <w:t>Patent</w:t>
            </w:r>
          </w:p>
        </w:tc>
        <w:tc>
          <w:tcPr>
            <w:tcW w:w="2220" w:type="dxa"/>
            <w:vAlign w:val="bottom"/>
          </w:tcPr>
          <w:p>
            <w:pPr>
              <w:jc w:val="center"/>
              <w:spacing w:after="0"/>
              <w:rPr>
                <w:sz w:val="20"/>
                <w:szCs w:val="20"/>
                <w:color w:val="auto"/>
              </w:rPr>
            </w:pPr>
            <w:r>
              <w:rPr>
                <w:rFonts w:ascii="Arial" w:cs="Arial" w:eastAsia="Arial" w:hAnsi="Arial"/>
                <w:sz w:val="16"/>
                <w:szCs w:val="16"/>
                <w:color w:val="auto"/>
                <w:w w:val="91"/>
              </w:rPr>
              <w:t>Colombia</w:t>
            </w:r>
          </w:p>
        </w:tc>
        <w:tc>
          <w:tcPr>
            <w:tcW w:w="2160" w:type="dxa"/>
            <w:vAlign w:val="bottom"/>
          </w:tcPr>
          <w:p>
            <w:pPr>
              <w:jc w:val="right"/>
              <w:ind w:right="640"/>
              <w:spacing w:after="0"/>
              <w:rPr>
                <w:sz w:val="20"/>
                <w:szCs w:val="20"/>
                <w:color w:val="auto"/>
              </w:rPr>
            </w:pPr>
            <w:r>
              <w:rPr>
                <w:rFonts w:ascii="Arial" w:cs="Arial" w:eastAsia="Arial" w:hAnsi="Arial"/>
                <w:sz w:val="16"/>
                <w:szCs w:val="16"/>
                <w:color w:val="auto"/>
              </w:rPr>
              <w:t>10/22/2021</w:t>
            </w:r>
          </w:p>
        </w:tc>
      </w:tr>
      <w:tr>
        <w:trPr>
          <w:trHeight w:val="23"/>
        </w:trPr>
        <w:tc>
          <w:tcPr>
            <w:tcW w:w="44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4"/>
        </w:trPr>
        <w:tc>
          <w:tcPr>
            <w:tcW w:w="444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91"/>
              </w:rPr>
              <w:t>Unigel Products (Diclofenac)</w:t>
            </w:r>
          </w:p>
        </w:tc>
        <w:tc>
          <w:tcPr>
            <w:tcW w:w="244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6"/>
              </w:rPr>
              <w:t>Patent</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PCT</w:t>
            </w:r>
          </w:p>
        </w:tc>
        <w:tc>
          <w:tcPr>
            <w:tcW w:w="2160" w:type="dxa"/>
            <w:vAlign w:val="bottom"/>
            <w:shd w:val="clear" w:color="auto" w:fill="CCEEFF"/>
          </w:tcPr>
          <w:p>
            <w:pPr>
              <w:jc w:val="right"/>
              <w:ind w:right="640"/>
              <w:spacing w:after="0"/>
              <w:rPr>
                <w:sz w:val="20"/>
                <w:szCs w:val="20"/>
                <w:color w:val="auto"/>
              </w:rPr>
            </w:pPr>
            <w:r>
              <w:rPr>
                <w:rFonts w:ascii="Arial" w:cs="Arial" w:eastAsia="Arial" w:hAnsi="Arial"/>
                <w:sz w:val="16"/>
                <w:szCs w:val="16"/>
                <w:color w:val="auto"/>
              </w:rPr>
              <w:t>09/23/2021</w:t>
            </w:r>
          </w:p>
        </w:tc>
      </w:tr>
      <w:tr>
        <w:trPr>
          <w:trHeight w:val="23"/>
        </w:trPr>
        <w:tc>
          <w:tcPr>
            <w:tcW w:w="444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Furthermore, as of December 31, 2021, we hold over 5,193 trademarks, with 369 pending approval. Additionally, as of December 31, 2021, we have over 162 drug registrations, with over 150 pending approval.</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do not consider any individual patent, trademark or license to be material to our overall 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Responsibilities and Environmental, Social, and Governance (“ESG”)</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Standards</w:t>
      </w:r>
    </w:p>
    <w:p>
      <w:pPr>
        <w:spacing w:after="0" w:line="198"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Our facilities and operations are subject to various environmental laws and regulations. We undergo periodic internal audits relating to environmental, health and safety requirements in order to maintain compliance with applicable laws and regulations in each of the jurisdictions in which we operate. Additionally, pursuant to an agreement with one of our shareholders, IFC, we are required to comply with IFC’s Performance Standards on Social &amp; Environmental Sustainability, permit environmental and social representatives of IFC to visit our facilities on an annual basis and provide IFC with an annual sustainability report, among other requirements. As part of this agreement, we have committed to adhere to the processes and compliance mechanisms of IFC’s Performance Standards on Social &amp; Environmental Sustainability in order to improve our environmental and social risk management, including the preparation of an Annual Sustainability Report that follows the Global Reporting Initiative (GRI) standards.</w:t>
      </w:r>
    </w:p>
    <w:p>
      <w:pPr>
        <w:spacing w:after="0" w:line="143"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We have made, and continue to make, expenditures necessary to comply with applicable environmental laws; however, we do not believe that the costs for complying with such laws and regulations have been or will be material to our business. We do not have any material remediation liabilities outstanding.</w:t>
      </w:r>
    </w:p>
    <w:p>
      <w:pPr>
        <w:spacing w:after="0" w:line="129"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While we believe that climate change could present risks to our business, including increased operating costs due to additional regulatory requirements, physical risks to our facilities, water limitations and disruptions to our supply chain, we do not believe these risks are material to our business in the near term.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ESG Commitments and Strategy</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are committed to doing business in an ethical manner. We have a long history of environmentally sound and efficient operations, safe and healthy working conditions, and active participation in the communities where we are located. We have sought to strengthen our long-term ESG goals by incorporating environmental and social management into strategic business decisions, aligned with sustainable development goals with the aim of generating shared value and a positive impact on the communities we serve.</w:t>
      </w:r>
    </w:p>
    <w:p>
      <w:pPr>
        <w:spacing w:after="0" w:line="165"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We seek to strengthen our value creation in the pharmaceutical industry by addressing the challenges of developing cost-efficient products and providing accessible products to the population in the regions we operate in, while seeking to reduce the environmental impact of our activities. Our ESG strategy can classified into four pillars: (i) access to medicine, (ii) social impact and community engagement, (iii) efficient use of natural resources and (iv) climate strategy and innovation and R&amp;D.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Workforce ESG Commitments</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As reflected in our Social Responsibility, Quality of Life and Integrated Management Policies, we are, and remain, committed to maintaining an environment that motivates all employees to achieve personal development (physical, mental, social and emotional), acquire new competencies, skills and abilities, and promote the proper attitudes to improve their interpersonal skills and enhance their future employment prospects in the changing and competitive market we operate. Our human development, hiring and training process includes:</w:t>
      </w:r>
    </w:p>
    <w:p>
      <w:pPr>
        <w:spacing w:after="0" w:line="165" w:lineRule="exact"/>
        <w:rPr>
          <w:sz w:val="20"/>
          <w:szCs w:val="20"/>
          <w:color w:val="auto"/>
        </w:rPr>
      </w:pPr>
    </w:p>
    <w:p>
      <w:pPr>
        <w:ind w:left="560" w:right="20" w:hanging="278"/>
        <w:spacing w:after="0" w:line="275"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selecting qualified personnel for each position that show potential for development and that identify with our organizational moto of “Vision, Mission, Values, Policies, Key Strategic Objectives and Structure”;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09" w:right="319" w:bottom="1440" w:gutter="0" w:footer="0" w:header="0"/>
        </w:sectPr>
      </w:pPr>
    </w:p>
    <w:bookmarkStart w:id="58" w:name="page59"/>
    <w:bookmarkEnd w:id="58"/>
    <w:p>
      <w:pPr>
        <w:ind w:left="560" w:hanging="278"/>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assimilation into our corporate culture;</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training in processes and procedures;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job-specific training;</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continuous training and educational programs on new or updated standards, and key and strategic competencies;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promoting activities and training to improve the health of our employees and protection from occupational risk factors; and</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encouraging and supporting self-development, self-monitoring, individual and collective learning, and promoting continuous self-improvement.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Carbon Neutrality Strategy</w:t>
      </w:r>
    </w:p>
    <w:p>
      <w:pPr>
        <w:spacing w:after="0" w:line="19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In addition, Procaps has recently designed a carbon neutrality strategy which we officially launched at the end of 2021. Our strategy has the goal of, among others, (i) calculating our baseline carbon footprint and comparing it to the footprint of similar businesses to identify a benchmark, (ii) identifying greenhouse gas emissions mitigation opportunities, and (iii) developing a strategy combining mitigation and offsetting to become carbon neutral by a date to be determined.</w:t>
      </w:r>
    </w:p>
    <w:p>
      <w:pPr>
        <w:spacing w:after="0" w:line="146"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The first phase of our strategy consists of measuring the carbon footprint of our facilities. We measured the carbon footprint of our Barranquilla, Colombia facility, which has the highest production volume and contribution to greenhouse gas emissions in its three scopes. The results were obtained at the beginning of 2022 and will be published in the 2021 sustainability report, which is expected to be released during the first half of 2022. In 2022, we expect to measure the carbon footprint of our other facilities in El Salvador and Brazil, which will provide us with a full dimension of our carbon footprint. Although we have not yet defined a corporate baseline, the measuring of the carbon footprint of our Barranquilla facility has provided us with a reference point that will allow us to make carbon footprint comparisons with our other facilities, and with other similar businesses.</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have also identified viable opportunities for the mitigation of greenhouse gas emissions, some of which are currently in progress while others are under review for inclusion in our ESG initiatives in 2022. We have classified these opportunities into three scopes: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Scope 1</w:t>
      </w:r>
      <w:r>
        <w:rPr>
          <w:rFonts w:ascii="Arial" w:cs="Arial" w:eastAsia="Arial" w:hAnsi="Arial"/>
          <w:sz w:val="16"/>
          <w:szCs w:val="16"/>
          <w:color w:val="auto"/>
        </w:rPr>
        <w:t>: (i) Replacement of refrigerant gases by less polluting alternative gases; and (ii) optimization of personnel routes with driver role.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Scope 2</w:t>
      </w:r>
      <w:r>
        <w:rPr>
          <w:rFonts w:ascii="Arial" w:cs="Arial" w:eastAsia="Arial" w:hAnsi="Arial"/>
          <w:sz w:val="16"/>
          <w:szCs w:val="16"/>
          <w:color w:val="auto"/>
        </w:rPr>
        <w:t>: (i) enhancement of the self-generation plant; and (ii) renewable energy consumption projects (solar panels).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Scope 3</w:t>
      </w:r>
      <w:r>
        <w:rPr>
          <w:rFonts w:ascii="Arial" w:cs="Arial" w:eastAsia="Arial" w:hAnsi="Arial"/>
          <w:sz w:val="16"/>
          <w:szCs w:val="16"/>
          <w:color w:val="auto"/>
        </w:rPr>
        <w:t>: optimization of transport routes for raw materials and company products.</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Our corporate strategy to achieve carbon neutrality is still under review. Options have been identified both to reduce and offset, however we have to have a complete baseline in order to measure the effort needed to reduce and offset emissions to be able to commit to targets and timeframes. We are establishing goals for 2022 in different environmental indicators that contribute to reducing emissions and, in general, our environmental impact. These goals are expected to be published in our 2021 sustainability report which we expect will be released during the first half of 2022.</w:t>
      </w:r>
    </w:p>
    <w:p>
      <w:pPr>
        <w:spacing w:after="0" w:line="165"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Emissions goals at the corporate level will be defined once we have the complete baseline, which we expect will be completed in 2022. We are in the process of reviewing carbon footprint measurement proposals. Once we have the baseline, we intend to define reduction and compensation goals in order to approve our commitment.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Matters</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The manufacturing, processing, formulation, packaging, labeling, testing, storing, distributing, advertising, and sale of our products and services are subject to regulation by a variety of agencies in the localities in which our products are sold. In addition, we manufacture and market certain of our products in accordance with standards set by various organizations, including the FDA, Health Canada, MHRA, TGA, Cofepris and ISO. We believe that our policies, operations, and products comply in all material respects with existing regulations to which we are subject.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59" w:name="page60"/>
    <w:bookmarkEnd w:id="59"/>
    <w:p>
      <w:pPr>
        <w:jc w:val="both"/>
        <w:ind w:right="20" w:firstLine="574"/>
        <w:spacing w:after="0" w:line="275" w:lineRule="auto"/>
        <w:rPr>
          <w:sz w:val="20"/>
          <w:szCs w:val="20"/>
          <w:color w:val="auto"/>
        </w:rPr>
      </w:pPr>
      <w:r>
        <w:rPr>
          <w:rFonts w:ascii="Arial" w:cs="Arial" w:eastAsia="Arial" w:hAnsi="Arial"/>
          <w:sz w:val="16"/>
          <w:szCs w:val="16"/>
          <w:color w:val="auto"/>
        </w:rPr>
        <w:t>The manufacturing, distribution, and marketing of healthcare products and the provision of certain services for development-stage pharmaceutical products are subject to extensive ongoing regulation by INVIMA, ANVISA, the FDA, other regulatory authorities in the countries in which we operate.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Colombian Regulations</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A majority of our products are manufactured in our four manufacturing facilities in Colombia. INVIMA is the Colombian regulatory authority charged with inspecting and supervising the marketing and manufacturing of health products, identifying and evaluating the violation of health standards or procedures, and implementing best practices and providing medical approval for the import and export of products.</w:t>
      </w:r>
    </w:p>
    <w:p>
      <w:pPr>
        <w:spacing w:after="0" w:line="162" w:lineRule="exact"/>
        <w:rPr>
          <w:sz w:val="20"/>
          <w:szCs w:val="20"/>
          <w:color w:val="auto"/>
        </w:rPr>
      </w:pPr>
    </w:p>
    <w:p>
      <w:pPr>
        <w:jc w:val="both"/>
        <w:ind w:right="20" w:firstLine="574"/>
        <w:spacing w:after="0" w:line="235" w:lineRule="auto"/>
        <w:rPr>
          <w:sz w:val="20"/>
          <w:szCs w:val="20"/>
          <w:color w:val="auto"/>
        </w:rPr>
      </w:pPr>
      <w:r>
        <w:rPr>
          <w:rFonts w:ascii="Arial" w:cs="Arial" w:eastAsia="Arial" w:hAnsi="Arial"/>
          <w:sz w:val="16"/>
          <w:szCs w:val="16"/>
          <w:color w:val="auto"/>
        </w:rPr>
        <w:t>INVIMA carries out periodic inspections of our facilities, processes and products to verify compliance with cGMP and Good Laboratory Practices in accordance with the regulations established by the World Health Organization (“WHO”) in the Technical Report Series 823 — 32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Report of the WHO Expert Committee on Specifications for Pharmaceutical Preparations (the “WHO Report 32”). In addition, our facilities are also subject to regulation and inspection by the Colombian Agricultural Institute (</w:t>
      </w:r>
      <w:r>
        <w:rPr>
          <w:rFonts w:ascii="Arial" w:cs="Arial" w:eastAsia="Arial" w:hAnsi="Arial"/>
          <w:sz w:val="16"/>
          <w:szCs w:val="16"/>
          <w:i w:val="1"/>
          <w:iCs w:val="1"/>
          <w:color w:val="auto"/>
        </w:rPr>
        <w:t>Instituto</w:t>
      </w:r>
      <w:r>
        <w:rPr>
          <w:rFonts w:ascii="Arial" w:cs="Arial" w:eastAsia="Arial" w:hAnsi="Arial"/>
          <w:sz w:val="16"/>
          <w:szCs w:val="16"/>
          <w:color w:val="auto"/>
        </w:rPr>
        <w:t xml:space="preserve"> </w:t>
      </w:r>
      <w:r>
        <w:rPr>
          <w:rFonts w:ascii="Arial" w:cs="Arial" w:eastAsia="Arial" w:hAnsi="Arial"/>
          <w:sz w:val="16"/>
          <w:szCs w:val="16"/>
          <w:i w:val="1"/>
          <w:iCs w:val="1"/>
          <w:color w:val="auto"/>
        </w:rPr>
        <w:t>Colombiano Agropecuario</w:t>
      </w:r>
      <w:r>
        <w:rPr>
          <w:rFonts w:ascii="Arial" w:cs="Arial" w:eastAsia="Arial" w:hAnsi="Arial"/>
          <w:sz w:val="16"/>
          <w:szCs w:val="16"/>
          <w:color w:val="auto"/>
        </w:rPr>
        <w:t>, or “ICA”), a public entity attached to the Colombian Ministry of Agriculture and Rural Development (</w:t>
      </w:r>
      <w:r>
        <w:rPr>
          <w:rFonts w:ascii="Arial" w:cs="Arial" w:eastAsia="Arial" w:hAnsi="Arial"/>
          <w:sz w:val="16"/>
          <w:szCs w:val="16"/>
          <w:i w:val="1"/>
          <w:iCs w:val="1"/>
          <w:color w:val="auto"/>
        </w:rPr>
        <w:t>Ministerio de Agricultura y Desarrollo Rural</w:t>
      </w:r>
      <w:r>
        <w:rPr>
          <w:rFonts w:ascii="Arial" w:cs="Arial" w:eastAsia="Arial" w:hAnsi="Arial"/>
          <w:sz w:val="16"/>
          <w:szCs w:val="16"/>
          <w:color w:val="auto"/>
        </w:rPr>
        <w:t>), responsible for controlling agricultural health in Colombia. The ICA is charged with inspecting our plants to verify compliance with cGMP for the production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for veterinary use, also in accordance with the provisions of the WHO Report 32.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United States Regulations</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The FDA has jurisdiction over certain of our Rx, OTC pharmaceutical products and API. The FDA’s jurisdiction extends to the manufacturing, testing, labeling, packaging, storage, distribution, and promotion of these products. We are committed to consistently provide our customers with high quality products that adhere to cGMP regulations promulgated by the FDA.</w:t>
      </w:r>
    </w:p>
    <w:p>
      <w:pPr>
        <w:spacing w:after="0" w:line="16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All facilities where Rx and OTC products are manufactured, tested, packaged, stored, or distributed for the U.S. market must comply with FDA, cGMPs and regulations promulgated by competent authorities in the countries, states and localities where our manufacturing facilities are located. All of our drug products destined for the U.S. market are manufactured, tested, packaged, stored, and distributed according to cGMP regulations. The FDA performs periodic audits to ensure that our FDA registered manufacturing facility remains in compliance with all appropriate regulations.</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addition, certain of our subsidiaries are subject to other healthcare laws, including the U.S. Federal Food, Drug, and Cosmetic Act, the Public Health Service Act, the Controlled Substances Act, and comparable state and foreign laws and regulations in certain of their activities.</w:t>
      </w:r>
    </w:p>
    <w:p>
      <w:pPr>
        <w:spacing w:after="0" w:line="15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Third parties develop and manufacture APIs for use in certain of our pharmaceutical products that are sold in the U.S. and other global markets. API manufacturers typically submit a drug master file to the regulatory authority that provides the proprietary information related to the manufacturing process. The FDA inspects the manufacturing facilities to assess cGMP compliance, and the facilities and procedures must be cGMP compliant before API may be exported to the United States.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Brazilian Regulations</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Certain of our products are manufactured in our Brazil manufacturing facilities. ANVISA is the Brazilian regulatory agency that is responsible for the approval and supervision of food, cosmetics, tobacco, pharmaceuticals, health services, and medical devices, among other products, and carries out sanitary control and inspection activities in ports, airports and the border regions.</w:t>
      </w:r>
    </w:p>
    <w:p>
      <w:pPr>
        <w:spacing w:after="0" w:line="16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ANVISA is charged with the protection of the Brazilian population’s health through sanitary control over the production and marketing of products and services, including facilities, processes, materials and technologies related thereto. We may only operate our facilities subject to the jurisdiction of ANVISA once we have received ANVISA’s approval. In addition, all of our pharmaceutical products must be submitted to ANVISA for approval before being offered to our customers in Brazil. As a governmental agency, ANVISA has police power over sanitary controls, as a result, in the event an inspection reveals non-compliance with its regulations, it may shut down businesses, suspend the sale of products, appropriate and seize items, or issue fines.</w:t>
      </w:r>
    </w:p>
    <w:p>
      <w:pPr>
        <w:spacing w:after="0" w:line="170"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In addition to approvals from ANVISA, we also require the approval of CETESB, an agency of the government of the State of São Paulo responsible for the control, inspection, monitoring and licensing of activities that generate pollution, to operate our facilities in Brazil. CETESB is responsible for granting operating licenses for our facilities and carries out frequent inspections to assess whether there have been any changes to the environmental impact caused by our activities. For information on current regulatory proceedings involving CETESB, please see Item 8.A under the heading “Legal Proceedings — Operating License.”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i w:val="1"/>
          <w:iCs w:val="1"/>
          <w:color w:val="auto"/>
        </w:rPr>
        <w:t>El Salvador Regulations</w:t>
      </w:r>
    </w:p>
    <w:p>
      <w:pPr>
        <w:spacing w:after="0" w:line="198"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Certain of our products are manufactured in our El Salvador manufacturing facilities. DNM is the El Salvadorian regulatory agency that is responsible for safeguarding the health of the country’s population through the regulation and surveillance of pharmaceutical, cosmetic, hygienic, chemical products, medical devices and raw materials.</w:t>
      </w:r>
    </w:p>
    <w:p>
      <w:pPr>
        <w:spacing w:after="0" w:line="10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The DNM is the competent health authority in El Salvador charged with authorizing and registering all pharmaceutical products in El Salvador and is responsible for regulating the importation and manufacturing of pharmaceutical products, implementing price controls, and controlling of distribution chains. The DNM acts based on the guidelines established by the Central American Technical Regulation (</w:t>
      </w:r>
      <w:r>
        <w:rPr>
          <w:rFonts w:ascii="Arial" w:cs="Arial" w:eastAsia="Arial" w:hAnsi="Arial"/>
          <w:sz w:val="16"/>
          <w:szCs w:val="16"/>
          <w:i w:val="1"/>
          <w:iCs w:val="1"/>
          <w:color w:val="auto"/>
        </w:rPr>
        <w:t>Reglamento Técnico Centroamericano</w:t>
      </w:r>
      <w:r>
        <w:rPr>
          <w:rFonts w:ascii="Arial" w:cs="Arial" w:eastAsia="Arial" w:hAnsi="Arial"/>
          <w:sz w:val="16"/>
          <w:szCs w:val="16"/>
          <w:color w:val="auto"/>
        </w:rPr>
        <w:t>) which is a guide based on the WHO Report 32, to implement the best practices in the manufacturing, storage, distribution and sale of pharmaceutical products. The DNM is also responsible for certifying that pharmaceutical laboratories in El Salvador comply with cGMP.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Regulatory Requirements</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We are also subject to various federal, state, local, national and transnational laws, regulations, and requirements in Colombia, Brazil, the United States and other countries in which we operate, relating to safe working conditions, laboratory and distribution practices, and the use, transportation and disposal of hazardous or potentially hazardous substances. In addition, applicable import and export laws and regulations require us to abide by certain standards relating to the cross-border transit of finished goods, raw materials and supplies and the handling of information. We are also subject to various other laws and regulations concerning the conduct of our non-U.S. operations, including FCPA and other anti-bribery laws and laws pertaining to the accuracy of our internal books and records.</w:t>
      </w:r>
    </w:p>
    <w:p>
      <w:pPr>
        <w:spacing w:after="0" w:line="15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The costs associated with our continued compliance with the various applicable federal, state, local, national and transnational regulations to which we are subject could be significant, and the failure to comply with such legal requirements could have an adverse effect on our results of operations and financial condition. See Item 3.D under the heading “Risk Factors — Risks Related to Laws and Regulations — Failure to comply with existing and future regulatory requirements could adversely affect our business, financial condition and results of operations, or result in claims from customers” in this annual report for additional discussion of the costs associated with complying with the various regulations.</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the years ended December 31, 2021, 2020 and 2019, we were subject to seven regulatory audits by INVIMA, ANVISA, the FDA, Health Canada, MHRA, the Saudi Arabia Food and Drug Administration, and the TGA, all of which were successfully completed.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Colombian Tax Reform</w:t>
      </w:r>
    </w:p>
    <w:p>
      <w:pPr>
        <w:spacing w:after="0" w:line="20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On September 14, 2021, Colombia’s President approved the 2021 Colombian Tax Reform, which includes certain tax measures intended to generate additional tax revenues to fund social programs for purposes of mitigating the impact of the COVID-19 pandemic. These tax measures include, among other things:</w:t>
      </w:r>
    </w:p>
    <w:p>
      <w:pPr>
        <w:spacing w:after="0" w:line="129" w:lineRule="exact"/>
        <w:rPr>
          <w:sz w:val="20"/>
          <w:szCs w:val="20"/>
          <w:color w:val="auto"/>
        </w:rPr>
      </w:pPr>
    </w:p>
    <w:p>
      <w:pPr>
        <w:ind w:left="860" w:hanging="291"/>
        <w:spacing w:after="0"/>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increasing the corporate tax rate from 30% to 35% for both domestic and foreign entities, permanent establishments and branches;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maintaining the rates for the special tax regime and free-trade zones at 20%;</w:t>
      </w:r>
    </w:p>
    <w:p>
      <w:pPr>
        <w:spacing w:after="0" w:line="198"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continuing to limit the amount of turnover tax that taxpayers may claim as a corporate income tax credit to 50% by repealing a previously enacted law change that would have allowed taxpayers to claim 100% of the turnover tax effectively paid as an income tax credit;</w:t>
      </w:r>
    </w:p>
    <w:p>
      <w:pPr>
        <w:spacing w:after="0" w:line="151"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increasing the carry forward period of profits subject to taxation at the corporate level exceeding the profits recorded in the company’s accounting records in the same year, from 5 to 10 years for taxpayers engaged in concession and public-private agreements;</w:t>
      </w:r>
    </w:p>
    <w:p>
      <w:pPr>
        <w:spacing w:after="0" w:line="151" w:lineRule="exact"/>
        <w:rPr>
          <w:rFonts w:ascii="Arial" w:cs="Arial" w:eastAsia="Arial" w:hAnsi="Arial"/>
          <w:sz w:val="16"/>
          <w:szCs w:val="16"/>
          <w:color w:val="auto"/>
        </w:rPr>
      </w:pPr>
    </w:p>
    <w:p>
      <w:pPr>
        <w:ind w:left="860" w:hanging="291"/>
        <w:spacing w:after="0" w:line="275" w:lineRule="auto"/>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establishing a new normalization tax (i.e., tax amnesty) applicable to income taxpayers that did not declare certain assets or claimed non-existent liabilities for tax purposes, taxing such amounts at a rate of 17%, as of January 1, 2022.; and</w:t>
      </w:r>
    </w:p>
    <w:p>
      <w:pPr>
        <w:spacing w:after="0" w:line="151" w:lineRule="exact"/>
        <w:rPr>
          <w:rFonts w:ascii="Arial" w:cs="Arial" w:eastAsia="Arial" w:hAnsi="Arial"/>
          <w:sz w:val="16"/>
          <w:szCs w:val="16"/>
          <w:color w:val="auto"/>
        </w:rPr>
      </w:pPr>
    </w:p>
    <w:p>
      <w:pPr>
        <w:jc w:val="both"/>
        <w:ind w:left="860" w:hanging="291"/>
        <w:spacing w:after="0" w:line="317" w:lineRule="auto"/>
        <w:tabs>
          <w:tab w:leader="none" w:pos="8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eliminating the value added tax (“VAT”) exclusion for imports of goods with a value of $200 or less that enter Colombia through postal services. The exclusion, however, continues for imports from countries with which Colombia has signed a free trade agreement, by virtue of which the non-collection of VAT has been expressly agreed. For imports from countries with a free trade agreement with Colombia, the exclusion will not apply if the imports are for commercial purposes.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61" w:name="page62"/>
    <w:bookmarkEnd w:id="61"/>
    <w:p>
      <w:pPr>
        <w:jc w:val="both"/>
        <w:ind w:right="20" w:firstLine="574"/>
        <w:spacing w:after="0" w:line="262" w:lineRule="auto"/>
        <w:rPr>
          <w:sz w:val="20"/>
          <w:szCs w:val="20"/>
          <w:color w:val="auto"/>
        </w:rPr>
      </w:pPr>
      <w:r>
        <w:rPr>
          <w:rFonts w:ascii="Arial" w:cs="Arial" w:eastAsia="Arial" w:hAnsi="Arial"/>
          <w:sz w:val="16"/>
          <w:szCs w:val="16"/>
          <w:color w:val="auto"/>
        </w:rPr>
        <w:t>We are evaluating the potential impact of the 2021 Colombia Tax Reform on our business, financial condition and results of operations. We cannot anticipate the impact that the 2021 Colombia Tax Reform may have, nor the measures that could be adopted by the current administration in order to meet its financial obligations, which might negatively affect Colombian’s economy and, in turn,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Quality Assurance</w:t>
      </w:r>
    </w:p>
    <w:p>
      <w:pPr>
        <w:spacing w:after="0" w:line="202" w:lineRule="exact"/>
        <w:rPr>
          <w:sz w:val="20"/>
          <w:szCs w:val="20"/>
          <w:color w:val="auto"/>
        </w:rPr>
      </w:pPr>
    </w:p>
    <w:p>
      <w:pPr>
        <w:jc w:val="both"/>
        <w:ind w:right="20" w:firstLine="574"/>
        <w:spacing w:after="0" w:line="272" w:lineRule="auto"/>
        <w:rPr>
          <w:sz w:val="20"/>
          <w:szCs w:val="20"/>
          <w:color w:val="auto"/>
        </w:rPr>
      </w:pPr>
      <w:r>
        <w:rPr>
          <w:rFonts w:ascii="Arial" w:cs="Arial" w:eastAsia="Arial" w:hAnsi="Arial"/>
          <w:sz w:val="15"/>
          <w:szCs w:val="15"/>
          <w:color w:val="auto"/>
        </w:rPr>
        <w:t>We are committed to ensuring and maintaining the highest standard of regulatory compliance while providing high quality products to our customers. To meet these commitments, we have developed and implemented a company-wide quality management system. We have approximately 640 employees focusing on quality and regulatory compliance. Our senior management team is actively involved in setting quality policies and standards, as well as managing internal and external quality performance. Our quality assurance department provides quality leadership and supervises our quality systems programs. An internal audit program monitors compliance with applicable regulations, standards, and internal policies. In addition, our facilities are subject to periodic inspection by the INVIMA, ANVISA, the FDA, and other equivalent local, state, and foreign regulatory authorities, as applicable, as well as IFC. All INVIMA, ANVISA, FDA and other regulatory inspectional observations have been resolved or are on track to be completed at the prescribed timeframe provided in commitments to the applicable agency in all material respects. We believe that our operations are in compliance in all material respects with the regulations under which our facilities are governed.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20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Our operations are subject to a variety of environmental, health, and safety laws and regulations, including those of the Colombian Ministry of Environment and Sustainable Development (</w:t>
      </w:r>
      <w:r>
        <w:rPr>
          <w:rFonts w:ascii="Arial" w:cs="Arial" w:eastAsia="Arial" w:hAnsi="Arial"/>
          <w:sz w:val="16"/>
          <w:szCs w:val="16"/>
          <w:i w:val="1"/>
          <w:iCs w:val="1"/>
          <w:color w:val="auto"/>
        </w:rPr>
        <w:t>Ministerio de Ambiente y Desarrollo Sostenible</w:t>
      </w:r>
      <w:r>
        <w:rPr>
          <w:rFonts w:ascii="Arial" w:cs="Arial" w:eastAsia="Arial" w:hAnsi="Arial"/>
          <w:sz w:val="16"/>
          <w:szCs w:val="16"/>
          <w:color w:val="auto"/>
        </w:rPr>
        <w:t>), the Brazilian Institute of the Environment and Renewable Natural Resources (</w:t>
      </w:r>
      <w:r>
        <w:rPr>
          <w:rFonts w:ascii="Arial" w:cs="Arial" w:eastAsia="Arial" w:hAnsi="Arial"/>
          <w:sz w:val="16"/>
          <w:szCs w:val="16"/>
          <w:i w:val="1"/>
          <w:iCs w:val="1"/>
          <w:color w:val="auto"/>
        </w:rPr>
        <w:t>Instituto Brasileiro</w:t>
      </w:r>
      <w:r>
        <w:rPr>
          <w:rFonts w:ascii="Arial" w:cs="Arial" w:eastAsia="Arial" w:hAnsi="Arial"/>
          <w:sz w:val="16"/>
          <w:szCs w:val="16"/>
          <w:color w:val="auto"/>
        </w:rPr>
        <w:t xml:space="preserve"> </w:t>
      </w:r>
      <w:r>
        <w:rPr>
          <w:rFonts w:ascii="Arial" w:cs="Arial" w:eastAsia="Arial" w:hAnsi="Arial"/>
          <w:sz w:val="16"/>
          <w:szCs w:val="16"/>
          <w:i w:val="1"/>
          <w:iCs w:val="1"/>
          <w:color w:val="auto"/>
        </w:rPr>
        <w:t>do Meio Ambiente e dos Recursos Naturais Renováveis</w:t>
      </w:r>
      <w:r>
        <w:rPr>
          <w:rFonts w:ascii="Arial" w:cs="Arial" w:eastAsia="Arial" w:hAnsi="Arial"/>
          <w:sz w:val="16"/>
          <w:szCs w:val="16"/>
          <w:color w:val="auto"/>
        </w:rPr>
        <w:t>), and equivalent state, local, and national regulatory agencies in each of the jurisdictions in which we operate. These</w:t>
      </w:r>
      <w:r>
        <w:rPr>
          <w:rFonts w:ascii="Arial" w:cs="Arial" w:eastAsia="Arial" w:hAnsi="Arial"/>
          <w:sz w:val="16"/>
          <w:szCs w:val="16"/>
          <w:i w:val="1"/>
          <w:iCs w:val="1"/>
          <w:color w:val="auto"/>
        </w:rPr>
        <w:t xml:space="preserve"> </w:t>
      </w:r>
      <w:r>
        <w:rPr>
          <w:rFonts w:ascii="Arial" w:cs="Arial" w:eastAsia="Arial" w:hAnsi="Arial"/>
          <w:sz w:val="16"/>
          <w:szCs w:val="16"/>
          <w:color w:val="auto"/>
        </w:rPr>
        <w:t>laws and regulations govern, among other things, air emissions, wastewater discharges, the use, handling, and disposal of hazardous substances and wastes, soil and groundwater contamination, and employee health and safety. Our manufacturing facilities use, in varying degrees, hazardous substances in their processes. We believe that our operations are in compliance in all material respects with the environment, health, and safety regulations applicable to our facilities. Additionally, we are required to comply with IFC’s Performance Standards on Social &amp; Environmental Sustainability, among other requirements. For more information, see “— Corporate Responsibilities and Environmental, Social, and Governance (ESG)”.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ORGANIZATIONAL STRUCTURE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diagram reflects a simplified summary of our organizational structure as of 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03440" cy="2314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(1)  The diagram above only shows selected subsidiaries of Procaps.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do not have any established branches. For a complete list of the Company’s subsidiaries, see Exhibit 8.1 to this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4A. UNRESOLVED SEC STAFF COMMENTS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no unresolved comments from the staff of the SEC with respect to its periodic reports under the Exchange Act.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ITEM 5. OPERATING AND FINANCIAL REVIEW AND PROSPECTS</w:t>
      </w:r>
    </w:p>
    <w:p>
      <w:pPr>
        <w:spacing w:after="0" w:line="20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i w:val="1"/>
          <w:iCs w:val="1"/>
          <w:color w:val="auto"/>
        </w:rPr>
        <w:t>Our discussion and analysis of our results of operations and financial condition are based upon our Annual Audited Consolidated Financial Statements, which have been prepared in accordance with IFRS. Our operating and financial review and prospects should be read in conjunction with our Annual Audited Consolidated Financial Statements, the accompanying notes thereto and other financial information appearing elsewhere in this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Founded in 1977 by the Minski family, we are a leading integrated international healthcare and pharmaceutical company that develops pharmaceutical and nutraceutical solutions, medicines and hospital supplies. Our customers are located in over 50 countries, in six out of the seven continents, and we have a direct presence in 13 countries in the Americas and over 4,900 employees working under our sustainable model. We develop, manufacture and market OTC and Rx pharmaceutical products, nutritional supplements and clinical solutions.</w:t>
      </w:r>
    </w:p>
    <w:p>
      <w:pPr>
        <w:spacing w:after="0" w:line="165"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Our business model focuses on four strategic cornerstones to drive growth. First, we have state-of-the-art manufacturing capabilities that allow us to provide innovative delivery technologies. Our corporate culture focuses on innovation and R&amp;D, which has enabled us to offer extensive scientific expertise with more than 305 scientists, technicians and skilled personnel and over 500 formulations as of December 31, 2021, allowing us to develop an average of over 150 new products, including more than 50 first time launch products, per year over the last three years. Second, our regional footprint and vertical integration enables organic growth opportunities and synergies. We currently operate six manufacturing facilities in Latin America, including the first FDA-approved pharmaceutical plant in South America and Central America, and sell and distribute products to over fifty distinct markets. Additionally, on December 31, 2021, we acquired an FDA approved 86,000 square feet pharmaceutical production facility located in West Palm Beach, Florida from Strides Pharma, Inc., our first US-based Softgel production facility and R&amp;D center, which is expected to begin operations in May 2022. Third, our Rx and OTC pharmaceutical product portfolio is driven by our proprietary delivery systems, allowing us to focus on the development and sale of high-growth and premium pharmaceutical products which we believe are subject to less pricing pressures when compared to more generic pharmaceutical products. Finally, we have an extensive track record of developing new businesses and growing via mergers and acquisitions, which is evidenced by the development of one of our in-house business incubations, Diabetrics, which took place in 2015, and several successful acquisitions throughout Latin America (including the acquisitions of Rymco S.A., Laboratorios Lopez and Biokemical S.A. de C.V.) which took place between 2012 and 2016. On September 29, 2021, we consummated the Business Combination with Union, which resulted in our Ordinary Shares and warrants being listed on the Nasdaq Global Market on September 30, 2021 under the symbols “PROC” and “PROCW”, respectively.</w:t>
      </w:r>
    </w:p>
    <w:p>
      <w:pPr>
        <w:spacing w:after="0" w:line="14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We are primarily engaged in developing, producing and marketing pharmaceutical solutions and our operations consist of the following five business segments: NextGel, Procaps Colombia, Central America North (“CAN”), Central America South and the Andean Region (“CASAND”) and Diabetrics. These segments operate in both the B-to-B and the B-to-C market.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NextGel</w:t>
      </w:r>
    </w:p>
    <w:p>
      <w:pPr>
        <w:spacing w:after="0" w:line="198"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Our NextGel business segment, operated under our Softigel brand, is the iCDMO arm of Procaps which offers services specializing in Softgel and operates globally in the B-to-B market, more specifically in Brazil, Colombia and the United States. We are the top Softgel manufacturer in South and Central America and top five in the world in terms of Softgel production capacity, according to an independent third-party industry analysis report. The iCDMO agreements with our top-tier customers range from five to ten-year terms. Our NextGel business segment has 126 clients across more than 35 countries and the key products that we manufacture in this segment includes Softgel pharmaceutical products such as Advil, Apronax Liquidgels, multivitamins, Vitamin D and Dolex ActivGel.</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Procaps Colombia, CAN and CASAND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three business segments serve each of its respective regional B-to-C markets by offering the following key product lines/business units: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Rx Pharmaceutical Products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Rx product line comprises the Farma Procaps and the Clinical Specialties brands/business units.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63" w:name="page64"/>
    <w:bookmarkEnd w:id="63"/>
    <w:p>
      <w:pPr>
        <w:jc w:val="both"/>
        <w:ind w:right="20" w:firstLine="574"/>
        <w:spacing w:after="0" w:line="262" w:lineRule="auto"/>
        <w:rPr>
          <w:sz w:val="20"/>
          <w:szCs w:val="20"/>
          <w:color w:val="auto"/>
        </w:rPr>
      </w:pPr>
      <w:r>
        <w:rPr>
          <w:rFonts w:ascii="Arial" w:cs="Arial" w:eastAsia="Arial" w:hAnsi="Arial"/>
          <w:sz w:val="16"/>
          <w:szCs w:val="16"/>
          <w:color w:val="auto"/>
        </w:rPr>
        <w:t>Farma Procaps formulates, manufactures and markets branded prescription drugs. It represents a high growth portfolio that focuses on nine therapeutic areas (feminine care products, pain relief, skin care, digestive health, growth and development, cardiology, vision care, central nervous system and respiratory). As of December 31, 2021, Farma Procaps formulates and manufactures more than 465 products for over 200 brands.</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Clinical Specialties is a leading provider of high-complexity care treatments to private institutions regionally. Its diverse product portfolio, including more than 150 products, and over 30 brands, targets various in-demand therapeutic areas and develops, manufactures and markets personal protective equipment, high-complexity drugs for hospital use such as antibiotic, blood clot, immunosuppressant, oncology and analgesics products.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OTC Product Line</w:t>
      </w:r>
    </w:p>
    <w:p>
      <w:pPr>
        <w:spacing w:after="0" w:line="198"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Our OTC product line primarily consists of the VitalCare brand/business unit. VitalCare develops, manufactures and markets OTC consumer healthcare products through an extensive portfolio focused on over eight high-prevalence therapeutic areas (including gastrointestinal, skin care, cough and cold, analgesics, urological, and vitamin, minerals and supplements) at what we believe to be accessible and appealing price points and includes more than 150 brands. Our Colmed OTC product line, which is part of our VitalCare business unit, consists of products in the following categories: antibiotics, anti-infective, anti-parasitic, cardiovascular, feminine care, cutaneous antimycotic, pain killers, gastrointestinal, hormonals, metabolic, endocrine, nervous system, ophthalmic, osteoarticular, respiratory, diet supplements and vitamins and minerals.</w:t>
      </w:r>
    </w:p>
    <w:p>
      <w:pPr>
        <w:spacing w:after="0" w:line="13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market and sell our OTC products in the following key regional markets: Bolivia, Colombia, Costa Rica, Dominican Republic, Ecuador, El Salvador, Guatemala, Honduras, Nicaragua, Panama, Peru, and the United States.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Procaps Colombia primarily serves the Colombian market, CAN primarily serves the Honduras, Nicaragua, El Salvador, United States and Guatemala markets, and CASAND primarily serves the Panama, Costa Rica, Ecuador, Dominican Republic, Peru and Bolivia markets.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Diabetrics</w:t>
      </w:r>
    </w:p>
    <w:p>
      <w:pPr>
        <w:spacing w:after="0" w:line="198"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With approximately 6% of the global population living with diabetes and 10% of global health expenditures spent on diabetes each year, we believe our Diabetrics business segment, which is comprised of our Diabetrics brand/business unit, is an attractive regional B-to-C diabetes-focused treatment and management platform that focuses primarily on the Colombian market. It has experienced significant growth since it began its operations in 2015. It has a unique business model when compared to our competitors, as it aims to cover the full spectrum of needs of patients with diabetes by providing products and services such as blood glucose meters, telemonitoring, Rx oral anti-diabetics products, cosmeceuticals (cosmetics that have medicinal properties for diabetic care), insulin delivery systems and other diabetes solutions.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Business Combination</w:t>
      </w:r>
    </w:p>
    <w:p>
      <w:pPr>
        <w:spacing w:after="0" w:line="20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On March 31, 2021, Union, Crynssen, the Company and Merger Sub entered into the Business Combination Agreement, and subsequently amended the Business Combination Agreement on September 29, 2021. As a result of the transactions contemplated by the Business Combination Agreement, each of Union and Crynssen became direct wholly-owned subsidiaries of the Company and each Crynssen Shareholder and shareholder of Union were issued Ordinary Shares, and, in the case of IFC, Ordinary Shares and Redeemable B Shares.</w:t>
      </w:r>
    </w:p>
    <w:p>
      <w:pPr>
        <w:spacing w:after="0" w:line="16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Union also entered into separate Subscription Agreements, each dated March 31, 2021, with the PIPE Investors, pursuant to which, and subject to the terms and conditions thereto, the PIPE Investors collectively subscribed for an aggregate of 10,000,000 SPAC Ordinary Shares for an aggregate purchase price of $100,000,000. The PIPE investment was consummated immediately prior to the Closing of the Business Combination, and each SPAC Ordinary Share subscribed for by the PIPE Investors were exchanged for one Ordinary Share, substantially concurrently with the closing of the Business Combination.</w:t>
      </w:r>
    </w:p>
    <w:p>
      <w:pPr>
        <w:spacing w:after="0" w:line="16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On April 16, 2021, in connection with the vote to approve the amendment to the then current amended and restated articles of association of Union to extend the date by which Union was required to consummate its initial business combination from April 22, 2021 to October 22, 2021 , certain shareholders of Union exercised their right to redeem 6,446,836 SPAC Ordinary Shares for cash at a redemption price of approximately $10.07 per share, for an aggregate redemption amount of approximately $64.9 million.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64" w:name="page65"/>
    <w:bookmarkEnd w:id="64"/>
    <w:p>
      <w:pPr>
        <w:jc w:val="both"/>
        <w:ind w:firstLine="574"/>
        <w:spacing w:after="0" w:line="262" w:lineRule="auto"/>
        <w:rPr>
          <w:sz w:val="20"/>
          <w:szCs w:val="20"/>
          <w:color w:val="auto"/>
        </w:rPr>
      </w:pPr>
      <w:r>
        <w:rPr>
          <w:rFonts w:ascii="Arial" w:cs="Arial" w:eastAsia="Arial" w:hAnsi="Arial"/>
          <w:sz w:val="16"/>
          <w:szCs w:val="16"/>
          <w:color w:val="auto"/>
        </w:rPr>
        <w:t>Prior to the Closing, on September 22, 2021, in connection with the vote to approve the Business Combination and other related proposals, at Union’s extraordinary general meeting, certain shareholders of Union exercised their right to redeem 7,657,670 SPAC Ordinary Shares for cash at a redemption price of approximately $10.19 per share, for an aggregate redemption amount of approximately $78.0 million.</w:t>
      </w:r>
    </w:p>
    <w:p>
      <w:pPr>
        <w:spacing w:after="0" w:line="16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Additionally, on September 29, 2021, the Sponsors entered into the Share Forfeiture Agreement, pursuant to which, the Sponsors forfeited a combined 700,000 SPAC Ordinary Shares prior to the consummation of the Business Combination.</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a description of the Business Combination, see under the heading “Certain Conventions––The Business Combination” in this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Going Concern Update</w:t>
      </w:r>
    </w:p>
    <w:p>
      <w:pPr>
        <w:spacing w:after="0" w:line="20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Previously, we had identified certain conditions and events that our management considered in the aggregate, to result in substantial doubt about our ability to continue as a going concern, including having negative equity of $254.7 million as of December 31, 2020. However, as a result of the reverse reorganization following the Business Combination with Union on September 29, 2021, we had a net “capital contribution” through the net assets obtained from Union and the termination of the put options with IFC and Hoche, resulting in total negative equity of $38.3 million as of December 31, 2021. The negative equity balance as of December 31, 2021 is primarily driven by the classification of the Ordinary Shares held in escrow pursuant to the terms of the Transaction Support Agreement and the related escrow agreements as a financial liability and does not impact our future operations.</w:t>
      </w:r>
    </w:p>
    <w:p>
      <w:pPr>
        <w:spacing w:after="0" w:line="170"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Additionally, as of December 31, 2021, we reported positive working capital of $110.1 million, compared to a deficit of $54.9 million as of December 31, 2020. Furthermore, as a result of the Business Combination, we had cash inflow of approximately $160.0 million, of which $72.1 million was still on hand as of December 31, 2021, compared to $4.2 million as of December 31, 2020. Currently, we maintain uncommitted financing lines, which we believe, together with the expected internal generation of funds, will allow us to finance our growth and working capital needs for the next twelve months. Additionally, we improved our funding conditions, through the issuance of the Senior Notes, the proceeds of which were primarily used to repay certain existing indebtedness (approximately $102 million), resulting in a significant reduction in financing rates (from a 9% average to 4.75% in U.S. dollars), and an amortization schedule of five annual equal payments commencing on the sixth anniversary of the closing.</w:t>
      </w:r>
    </w:p>
    <w:p>
      <w:pPr>
        <w:spacing w:after="0" w:line="143"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Based on the above, management believes that our cash position, together with forecasted results, cash flow from operating activities, available debt financing arrangements and financial support from our shareholders as a result of the Company entering the capital markets and listing on the Nasdaq, we will be able to meet our anticipated cash needs for working capital, capital expenditures and general and administrative expenses for at least the next twelve months.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more information, see Note 2.1 to our Annual Audited Consolidated Financial Statements, included elsewhere in this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Restatement of Previously Issued Financial Statements</w:t>
      </w:r>
    </w:p>
    <w:p>
      <w:pPr>
        <w:spacing w:after="0" w:line="202"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 xml:space="preserve">As described in more detail under the heading </w:t>
      </w:r>
      <w:r>
        <w:rPr>
          <w:rFonts w:ascii="Arial" w:cs="Arial" w:eastAsia="Arial" w:hAnsi="Arial"/>
          <w:sz w:val="14"/>
          <w:szCs w:val="14"/>
          <w:i w:val="1"/>
          <w:iCs w:val="1"/>
          <w:color w:val="auto"/>
        </w:rPr>
        <w:t>“Certain Conventions ––Restatement of Previously Issued Financial Statements”</w:t>
      </w:r>
      <w:r>
        <w:rPr>
          <w:rFonts w:ascii="Arial" w:cs="Arial" w:eastAsia="Arial" w:hAnsi="Arial"/>
          <w:sz w:val="14"/>
          <w:szCs w:val="14"/>
          <w:color w:val="auto"/>
        </w:rPr>
        <w:t xml:space="preserve"> in this annual report and in Note 2.4 to the Audited Consolidated Financial Statements, included elsewhere in this annual report, the Company, in consultation with its Audit Committee and its principal external auditor, determined that we will be required to restate our consolidated financial statements as of and for the years ended December 31, 2020 and 2019. The restatement is related to the revised classification of certain factoring and reverse factoring arrangements previously classified as part of </w:t>
      </w:r>
      <w:r>
        <w:rPr>
          <w:rFonts w:ascii="Arial" w:cs="Arial" w:eastAsia="Arial" w:hAnsi="Arial"/>
          <w:sz w:val="14"/>
          <w:szCs w:val="14"/>
          <w:i w:val="1"/>
          <w:iCs w:val="1"/>
          <w:color w:val="auto"/>
        </w:rPr>
        <w:t>Trade and other payables (current)</w:t>
      </w:r>
      <w:r>
        <w:rPr>
          <w:rFonts w:ascii="Arial" w:cs="Arial" w:eastAsia="Arial" w:hAnsi="Arial"/>
          <w:sz w:val="14"/>
          <w:szCs w:val="14"/>
          <w:color w:val="auto"/>
        </w:rPr>
        <w:t xml:space="preserve"> into </w:t>
      </w:r>
      <w:r>
        <w:rPr>
          <w:rFonts w:ascii="Arial" w:cs="Arial" w:eastAsia="Arial" w:hAnsi="Arial"/>
          <w:sz w:val="14"/>
          <w:szCs w:val="14"/>
          <w:i w:val="1"/>
          <w:iCs w:val="1"/>
          <w:color w:val="auto"/>
        </w:rPr>
        <w:t>Borrowings</w:t>
      </w:r>
      <w:r>
        <w:rPr>
          <w:rFonts w:ascii="Arial" w:cs="Arial" w:eastAsia="Arial" w:hAnsi="Arial"/>
          <w:sz w:val="14"/>
          <w:szCs w:val="14"/>
          <w:color w:val="auto"/>
        </w:rPr>
        <w:t xml:space="preserve"> </w:t>
      </w:r>
      <w:r>
        <w:rPr>
          <w:rFonts w:ascii="Arial" w:cs="Arial" w:eastAsia="Arial" w:hAnsi="Arial"/>
          <w:sz w:val="14"/>
          <w:szCs w:val="14"/>
          <w:i w:val="1"/>
          <w:iCs w:val="1"/>
          <w:color w:val="auto"/>
        </w:rPr>
        <w:t>(current)</w:t>
      </w:r>
      <w:r>
        <w:rPr>
          <w:rFonts w:ascii="Arial" w:cs="Arial" w:eastAsia="Arial" w:hAnsi="Arial"/>
          <w:sz w:val="14"/>
          <w:szCs w:val="14"/>
          <w:color w:val="auto"/>
        </w:rPr>
        <w:t>. The impact of the restatement is reflected in our balance sheet as of December 31, 2020 and 2019 included in Item 3.A under the heading “Selected Financial Data”</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 this annual report and our statement of cash flow for the year ended December 31, 2020 and 2019 included under the heading </w:t>
      </w:r>
      <w:r>
        <w:rPr>
          <w:rFonts w:ascii="Arial" w:cs="Arial" w:eastAsia="Arial" w:hAnsi="Arial"/>
          <w:sz w:val="14"/>
          <w:szCs w:val="14"/>
          <w:i w:val="1"/>
          <w:iCs w:val="1"/>
          <w:color w:val="auto"/>
        </w:rPr>
        <w:t>“Liquidity and Capital Resources”</w:t>
      </w:r>
      <w:r>
        <w:rPr>
          <w:rFonts w:ascii="Arial" w:cs="Arial" w:eastAsia="Arial" w:hAnsi="Arial"/>
          <w:sz w:val="14"/>
          <w:szCs w:val="14"/>
          <w:color w:val="auto"/>
        </w:rPr>
        <w:t xml:space="preserve"> below.</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65" w:name="page66"/>
    <w:bookmarkEnd w:id="65"/>
    <w:p>
      <w:pPr>
        <w:ind w:left="4"/>
        <w:spacing w:after="0"/>
        <w:rPr>
          <w:sz w:val="20"/>
          <w:szCs w:val="20"/>
          <w:color w:val="auto"/>
        </w:rPr>
      </w:pPr>
      <w:r>
        <w:rPr>
          <w:rFonts w:ascii="Arial" w:cs="Arial" w:eastAsia="Arial" w:hAnsi="Arial"/>
          <w:sz w:val="16"/>
          <w:szCs w:val="16"/>
          <w:b w:val="1"/>
          <w:bCs w:val="1"/>
          <w:color w:val="auto"/>
        </w:rPr>
        <w:t>Results of Operations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Comparison of the years ended December 31, 2021 and December 31, 2020</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following table sets forth historical operating results for the periods indicated, which were not impacted by the restatement described above:</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2380" w:type="dxa"/>
            <w:vAlign w:val="bottom"/>
          </w:tcPr>
          <w:p>
            <w:pPr>
              <w:spacing w:after="0"/>
              <w:rPr>
                <w:sz w:val="16"/>
                <w:szCs w:val="16"/>
                <w:color w:val="auto"/>
              </w:rPr>
            </w:pPr>
          </w:p>
        </w:tc>
        <w:tc>
          <w:tcPr>
            <w:tcW w:w="220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For the year ended</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For the year ended</w:t>
            </w:r>
          </w:p>
        </w:tc>
        <w:tc>
          <w:tcPr>
            <w:tcW w:w="2160" w:type="dxa"/>
            <w:vAlign w:val="bottom"/>
            <w:gridSpan w:val="4"/>
          </w:tcPr>
          <w:p>
            <w:pPr>
              <w:ind w:left="340"/>
              <w:spacing w:after="0"/>
              <w:rPr>
                <w:sz w:val="20"/>
                <w:szCs w:val="20"/>
                <w:color w:val="auto"/>
              </w:rPr>
            </w:pPr>
            <w:r>
              <w:rPr>
                <w:rFonts w:ascii="Arial" w:cs="Arial" w:eastAsia="Arial" w:hAnsi="Arial"/>
                <w:sz w:val="16"/>
                <w:szCs w:val="16"/>
                <w:b w:val="1"/>
                <w:bCs w:val="1"/>
                <w:color w:val="auto"/>
              </w:rPr>
              <w:t>Constant Currency</w:t>
            </w:r>
          </w:p>
        </w:tc>
        <w:tc>
          <w:tcPr>
            <w:tcW w:w="0" w:type="dxa"/>
            <w:vAlign w:val="bottom"/>
          </w:tcPr>
          <w:p>
            <w:pPr>
              <w:spacing w:after="0"/>
              <w:rPr>
                <w:sz w:val="1"/>
                <w:szCs w:val="1"/>
                <w:color w:val="auto"/>
              </w:rPr>
            </w:pPr>
          </w:p>
        </w:tc>
      </w:tr>
      <w:tr>
        <w:trPr>
          <w:trHeight w:val="212"/>
        </w:trPr>
        <w:tc>
          <w:tcPr>
            <w:tcW w:w="2380" w:type="dxa"/>
            <w:vAlign w:val="bottom"/>
          </w:tcPr>
          <w:p>
            <w:pPr>
              <w:spacing w:after="0"/>
              <w:rPr>
                <w:sz w:val="18"/>
                <w:szCs w:val="18"/>
                <w:color w:val="auto"/>
              </w:rPr>
            </w:pPr>
          </w:p>
        </w:tc>
        <w:tc>
          <w:tcPr>
            <w:tcW w:w="220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December 31,</w:t>
            </w:r>
          </w:p>
        </w:tc>
        <w:tc>
          <w:tcPr>
            <w:tcW w:w="226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Increase/(Decrease)</w:t>
            </w:r>
          </w:p>
        </w:tc>
        <w:tc>
          <w:tcPr>
            <w:tcW w:w="226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December 31,</w:t>
            </w:r>
          </w:p>
        </w:tc>
        <w:tc>
          <w:tcPr>
            <w:tcW w:w="2160" w:type="dxa"/>
            <w:vAlign w:val="bottom"/>
            <w:gridSpan w:val="4"/>
          </w:tcPr>
          <w:p>
            <w:pPr>
              <w:ind w:left="320"/>
              <w:spacing w:after="0"/>
              <w:rPr>
                <w:sz w:val="20"/>
                <w:szCs w:val="20"/>
                <w:color w:val="auto"/>
              </w:rPr>
            </w:pPr>
            <w:r>
              <w:rPr>
                <w:rFonts w:ascii="Arial" w:cs="Arial" w:eastAsia="Arial" w:hAnsi="Arial"/>
                <w:sz w:val="16"/>
                <w:szCs w:val="16"/>
                <w:b w:val="1"/>
                <w:bCs w:val="1"/>
                <w:color w:val="auto"/>
              </w:rPr>
              <w:t>Increase/(Decrease)</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2"/>
              </w:rPr>
              <w:t>2021 -</w:t>
            </w: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2"/>
              </w:rPr>
              <w:t>2021 -</w:t>
            </w: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Constant</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Constant</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380" w:type="dxa"/>
            <w:vAlign w:val="bottom"/>
          </w:tcPr>
          <w:p>
            <w:pPr>
              <w:spacing w:after="0"/>
              <w:rPr>
                <w:sz w:val="21"/>
                <w:szCs w:val="21"/>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21"/>
                <w:szCs w:val="21"/>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 Change</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 Change</w:t>
            </w:r>
          </w:p>
        </w:tc>
        <w:tc>
          <w:tcPr>
            <w:tcW w:w="1160" w:type="dxa"/>
            <w:vAlign w:val="bottom"/>
            <w:gridSpan w:val="2"/>
          </w:tcPr>
          <w:p>
            <w:pPr>
              <w:jc w:val="right"/>
              <w:ind w:right="200"/>
              <w:spacing w:after="0" w:line="240" w:lineRule="exact"/>
              <w:rPr>
                <w:sz w:val="20"/>
                <w:szCs w:val="20"/>
                <w:color w:val="auto"/>
              </w:rPr>
            </w:pPr>
            <w:r>
              <w:rPr>
                <w:rFonts w:ascii="Arial" w:cs="Arial" w:eastAsia="Arial" w:hAnsi="Arial"/>
                <w:sz w:val="16"/>
                <w:szCs w:val="16"/>
                <w:b w:val="1"/>
                <w:bCs w:val="1"/>
                <w:color w:val="auto"/>
                <w:w w:val="86"/>
              </w:rPr>
              <w:t>Adjustment</w:t>
            </w:r>
            <w:r>
              <w:rPr>
                <w:rFonts w:ascii="Arial" w:cs="Arial" w:eastAsia="Arial" w:hAnsi="Arial"/>
                <w:sz w:val="26"/>
                <w:szCs w:val="26"/>
                <w:b w:val="1"/>
                <w:bCs w:val="1"/>
                <w:color w:val="auto"/>
                <w:w w:val="86"/>
                <w:vertAlign w:val="superscript"/>
              </w:rPr>
              <w:t>(2)</w:t>
            </w:r>
          </w:p>
        </w:tc>
        <w:tc>
          <w:tcPr>
            <w:tcW w:w="1100" w:type="dxa"/>
            <w:vAlign w:val="bottom"/>
            <w:gridSpan w:val="2"/>
          </w:tcPr>
          <w:p>
            <w:pPr>
              <w:jc w:val="center"/>
              <w:ind w:right="220"/>
              <w:spacing w:after="0" w:line="240" w:lineRule="exact"/>
              <w:rPr>
                <w:sz w:val="20"/>
                <w:szCs w:val="20"/>
                <w:color w:val="auto"/>
              </w:rPr>
            </w:pPr>
            <w:r>
              <w:rPr>
                <w:rFonts w:ascii="Arial" w:cs="Arial" w:eastAsia="Arial" w:hAnsi="Arial"/>
                <w:sz w:val="16"/>
                <w:szCs w:val="16"/>
                <w:b w:val="1"/>
                <w:bCs w:val="1"/>
                <w:color w:val="auto"/>
                <w:w w:val="81"/>
              </w:rPr>
              <w:t>Basis</w:t>
            </w:r>
            <w:r>
              <w:rPr>
                <w:rFonts w:ascii="Arial" w:cs="Arial" w:eastAsia="Arial" w:hAnsi="Arial"/>
                <w:sz w:val="26"/>
                <w:szCs w:val="26"/>
                <w:b w:val="1"/>
                <w:bCs w:val="1"/>
                <w:color w:val="auto"/>
                <w:w w:val="81"/>
                <w:vertAlign w:val="superscript"/>
              </w:rPr>
              <w:t>(2)</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 Change</w:t>
            </w: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520" w:type="dxa"/>
            <w:vAlign w:val="bottom"/>
            <w:tcBorders>
              <w:top w:val="single" w:sz="8" w:color="auto"/>
            </w:tcBorders>
            <w:gridSpan w:val="8"/>
          </w:tcPr>
          <w:p>
            <w:pPr>
              <w:jc w:val="right"/>
              <w:ind w:right="800"/>
              <w:spacing w:after="0"/>
              <w:rPr>
                <w:sz w:val="20"/>
                <w:szCs w:val="20"/>
                <w:color w:val="auto"/>
              </w:rPr>
            </w:pPr>
            <w:r>
              <w:rPr>
                <w:rFonts w:ascii="Arial" w:cs="Arial" w:eastAsia="Arial" w:hAnsi="Arial"/>
                <w:sz w:val="16"/>
                <w:szCs w:val="16"/>
                <w:i w:val="1"/>
                <w:iCs w:val="1"/>
                <w:color w:val="auto"/>
              </w:rPr>
              <w:t>(in thousands of U.S. dollars except percentages)</w:t>
            </w: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409,742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331,467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78,275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6,641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416,383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84,916</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96"/>
              </w:rPr>
              <w:t>25.6%</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Cost of sales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(174,029)</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(140,153)</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(33,876)</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24.2%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(4,224)</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(178,253)</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(38,100)</w:t>
            </w:r>
          </w:p>
        </w:tc>
        <w:tc>
          <w:tcPr>
            <w:tcW w:w="1060" w:type="dxa"/>
            <w:vAlign w:val="bottom"/>
            <w:gridSpan w:val="2"/>
          </w:tcPr>
          <w:p>
            <w:pPr>
              <w:ind w:left="600"/>
              <w:spacing w:after="0"/>
              <w:rPr>
                <w:sz w:val="20"/>
                <w:szCs w:val="20"/>
                <w:color w:val="auto"/>
              </w:rPr>
            </w:pPr>
            <w:r>
              <w:rPr>
                <w:rFonts w:ascii="Arial" w:cs="Arial" w:eastAsia="Arial" w:hAnsi="Arial"/>
                <w:sz w:val="16"/>
                <w:szCs w:val="16"/>
                <w:color w:val="auto"/>
                <w:w w:val="96"/>
              </w:rPr>
              <w:t>27.2%</w:t>
            </w:r>
          </w:p>
        </w:tc>
        <w:tc>
          <w:tcPr>
            <w:tcW w:w="0" w:type="dxa"/>
            <w:vAlign w:val="bottom"/>
          </w:tcPr>
          <w:p>
            <w:pPr>
              <w:spacing w:after="0"/>
              <w:rPr>
                <w:sz w:val="1"/>
                <w:szCs w:val="1"/>
                <w:color w:val="auto"/>
              </w:rPr>
            </w:pPr>
          </w:p>
        </w:tc>
      </w:tr>
      <w:tr>
        <w:trPr>
          <w:trHeight w:val="24"/>
        </w:trPr>
        <w:tc>
          <w:tcPr>
            <w:tcW w:w="238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38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235,713</w:t>
            </w:r>
          </w:p>
        </w:tc>
        <w:tc>
          <w:tcPr>
            <w:tcW w:w="22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191,314</w:t>
            </w:r>
          </w:p>
        </w:tc>
        <w:tc>
          <w:tcPr>
            <w:tcW w:w="22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44,399</w:t>
            </w:r>
          </w:p>
        </w:tc>
        <w:tc>
          <w:tcPr>
            <w:tcW w:w="220" w:type="dxa"/>
            <w:vAlign w:val="bottom"/>
            <w:vMerge w:val="continue"/>
            <w:shd w:val="clear" w:color="auto" w:fill="CCEEFF"/>
          </w:tcPr>
          <w:p>
            <w:pPr>
              <w:spacing w:after="0"/>
              <w:rPr>
                <w:sz w:val="16"/>
                <w:szCs w:val="16"/>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23.2%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2,417</w:t>
            </w:r>
          </w:p>
        </w:tc>
        <w:tc>
          <w:tcPr>
            <w:tcW w:w="22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238,130</w:t>
            </w:r>
          </w:p>
        </w:tc>
        <w:tc>
          <w:tcPr>
            <w:tcW w:w="22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46,816</w:t>
            </w:r>
          </w:p>
        </w:tc>
        <w:tc>
          <w:tcPr>
            <w:tcW w:w="220" w:type="dxa"/>
            <w:vAlign w:val="bottom"/>
            <w:vMerge w:val="continue"/>
            <w:shd w:val="clear" w:color="auto" w:fill="CCEEFF"/>
          </w:tcPr>
          <w:p>
            <w:pPr>
              <w:spacing w:after="0"/>
              <w:rPr>
                <w:sz w:val="16"/>
                <w:szCs w:val="16"/>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6"/>
                <w:szCs w:val="16"/>
                <w:b w:val="1"/>
                <w:bCs w:val="1"/>
                <w:color w:val="auto"/>
                <w:w w:val="96"/>
              </w:rPr>
              <w:t>24.5%</w:t>
            </w:r>
          </w:p>
        </w:tc>
        <w:tc>
          <w:tcPr>
            <w:tcW w:w="0" w:type="dxa"/>
            <w:vAlign w:val="bottom"/>
          </w:tcPr>
          <w:p>
            <w:pPr>
              <w:spacing w:after="0"/>
              <w:rPr>
                <w:sz w:val="1"/>
                <w:szCs w:val="1"/>
                <w:color w:val="auto"/>
              </w:rPr>
            </w:pPr>
          </w:p>
        </w:tc>
      </w:tr>
      <w:tr>
        <w:trPr>
          <w:trHeight w:val="191"/>
        </w:trPr>
        <w:tc>
          <w:tcPr>
            <w:tcW w:w="2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 expenses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(83,057)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(69,629)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(13,428)</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(83,874)</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(14,245)</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96"/>
              </w:rPr>
              <w:t>20.5%</w:t>
            </w:r>
          </w:p>
        </w:tc>
        <w:tc>
          <w:tcPr>
            <w:tcW w:w="0" w:type="dxa"/>
            <w:vAlign w:val="bottom"/>
          </w:tcPr>
          <w:p>
            <w:pPr>
              <w:spacing w:after="0"/>
              <w:rPr>
                <w:sz w:val="1"/>
                <w:szCs w:val="1"/>
                <w:color w:val="auto"/>
              </w:rPr>
            </w:pPr>
          </w:p>
        </w:tc>
      </w:tr>
      <w:tr>
        <w:trPr>
          <w:trHeight w:val="191"/>
        </w:trPr>
        <w:tc>
          <w:tcPr>
            <w:tcW w:w="2380" w:type="dxa"/>
            <w:vAlign w:val="bottom"/>
          </w:tcPr>
          <w:p>
            <w:pPr>
              <w:spacing w:after="0"/>
              <w:rPr>
                <w:sz w:val="20"/>
                <w:szCs w:val="20"/>
                <w:color w:val="auto"/>
              </w:rPr>
            </w:pPr>
            <w:r>
              <w:rPr>
                <w:rFonts w:ascii="Arial" w:cs="Arial" w:eastAsia="Arial" w:hAnsi="Arial"/>
                <w:sz w:val="16"/>
                <w:szCs w:val="16"/>
                <w:color w:val="auto"/>
              </w:rPr>
              <w:t>Administrative expenses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(82,187)</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(58,631)</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(23,556)</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40.2%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(959)</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(83,146)</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(24,515)</w:t>
            </w:r>
          </w:p>
        </w:tc>
        <w:tc>
          <w:tcPr>
            <w:tcW w:w="1060" w:type="dxa"/>
            <w:vAlign w:val="bottom"/>
            <w:gridSpan w:val="2"/>
          </w:tcPr>
          <w:p>
            <w:pPr>
              <w:ind w:left="600"/>
              <w:spacing w:after="0"/>
              <w:rPr>
                <w:sz w:val="20"/>
                <w:szCs w:val="20"/>
                <w:color w:val="auto"/>
              </w:rPr>
            </w:pPr>
            <w:r>
              <w:rPr>
                <w:rFonts w:ascii="Arial" w:cs="Arial" w:eastAsia="Arial" w:hAnsi="Arial"/>
                <w:sz w:val="16"/>
                <w:szCs w:val="16"/>
                <w:color w:val="auto"/>
                <w:w w:val="96"/>
              </w:rPr>
              <w:t>41.8%</w:t>
            </w:r>
          </w:p>
        </w:tc>
        <w:tc>
          <w:tcPr>
            <w:tcW w:w="0" w:type="dxa"/>
            <w:vAlign w:val="bottom"/>
          </w:tcPr>
          <w:p>
            <w:pPr>
              <w:spacing w:after="0"/>
              <w:rPr>
                <w:sz w:val="1"/>
                <w:szCs w:val="1"/>
                <w:color w:val="auto"/>
              </w:rPr>
            </w:pPr>
          </w:p>
        </w:tc>
      </w:tr>
      <w:tr>
        <w:trPr>
          <w:trHeight w:val="191"/>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Finance expenses, net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(78,636)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(54,489)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(24,147)</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44.3%</w:t>
            </w: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20"/>
                <w:szCs w:val="20"/>
                <w:color w:val="auto"/>
              </w:rPr>
            </w:pPr>
            <w:r>
              <w:rPr>
                <w:rFonts w:ascii="Arial" w:cs="Arial" w:eastAsia="Arial" w:hAnsi="Arial"/>
                <w:sz w:val="16"/>
                <w:szCs w:val="16"/>
                <w:color w:val="auto"/>
              </w:rPr>
              <w:t>Other expenses, net</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(78,991)</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(7,716)</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(71,275)</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923.7%</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(Loss)/Income before tax</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(87,158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(88,007</w:t>
            </w:r>
          </w:p>
        </w:tc>
        <w:tc>
          <w:tcPr>
            <w:tcW w:w="22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8"/>
                <w:szCs w:val="8"/>
                <w:b w:val="1"/>
                <w:bCs w:val="1"/>
                <w:color w:val="auto"/>
                <w:w w:val="7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10,366.0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Income tax expense</w:t>
            </w: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(13,705</w:t>
            </w:r>
          </w:p>
        </w:tc>
        <w:tc>
          <w:tcPr>
            <w:tcW w:w="220" w:type="dxa"/>
            <w:vAlign w:val="bottom"/>
            <w:tcBorders>
              <w:bottom w:val="single" w:sz="8" w:color="CCEEFF"/>
            </w:tcBorders>
          </w:tcPr>
          <w:p>
            <w:pPr>
              <w:jc w:val="right"/>
              <w:ind w:right="80"/>
              <w:spacing w:after="0" w:line="175" w:lineRule="exact"/>
              <w:rPr>
                <w:sz w:val="20"/>
                <w:szCs w:val="20"/>
                <w:color w:val="auto"/>
              </w:rPr>
            </w:pPr>
            <w:r>
              <w:rPr>
                <w:rFonts w:ascii="Arial" w:cs="Arial" w:eastAsia="Arial" w:hAnsi="Arial"/>
                <w:sz w:val="16"/>
                <w:szCs w:val="16"/>
                <w:color w:val="auto"/>
                <w:w w:val="74"/>
              </w:rPr>
              <w:t>)</w:t>
            </w: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(11,296</w:t>
            </w:r>
          </w:p>
        </w:tc>
        <w:tc>
          <w:tcPr>
            <w:tcW w:w="220" w:type="dxa"/>
            <w:vAlign w:val="bottom"/>
            <w:tcBorders>
              <w:bottom w:val="single" w:sz="8" w:color="CCEEFF"/>
            </w:tcBorders>
          </w:tcPr>
          <w:p>
            <w:pPr>
              <w:jc w:val="right"/>
              <w:ind w:right="80"/>
              <w:spacing w:after="0" w:line="175" w:lineRule="exact"/>
              <w:rPr>
                <w:sz w:val="20"/>
                <w:szCs w:val="20"/>
                <w:color w:val="auto"/>
              </w:rPr>
            </w:pPr>
            <w:r>
              <w:rPr>
                <w:rFonts w:ascii="Arial" w:cs="Arial" w:eastAsia="Arial" w:hAnsi="Arial"/>
                <w:sz w:val="16"/>
                <w:szCs w:val="16"/>
                <w:color w:val="auto"/>
                <w:w w:val="74"/>
              </w:rPr>
              <w:t>)</w:t>
            </w: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(2,409</w:t>
            </w:r>
          </w:p>
        </w:tc>
        <w:tc>
          <w:tcPr>
            <w:tcW w:w="220" w:type="dxa"/>
            <w:vAlign w:val="bottom"/>
            <w:tcBorders>
              <w:bottom w:val="single" w:sz="8" w:color="CCEEFF"/>
            </w:tcBorders>
          </w:tcPr>
          <w:p>
            <w:pPr>
              <w:jc w:val="right"/>
              <w:ind w:right="140"/>
              <w:spacing w:after="0"/>
              <w:rPr>
                <w:sz w:val="20"/>
                <w:szCs w:val="20"/>
                <w:color w:val="auto"/>
              </w:rPr>
            </w:pPr>
            <w:r>
              <w:rPr>
                <w:rFonts w:ascii="Arial" w:cs="Arial" w:eastAsia="Arial" w:hAnsi="Arial"/>
                <w:sz w:val="8"/>
                <w:szCs w:val="8"/>
                <w:color w:val="auto"/>
                <w:w w:val="73"/>
              </w:rPr>
              <w:t>)</w:t>
            </w: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21.3</w:t>
            </w:r>
          </w:p>
        </w:tc>
        <w:tc>
          <w:tcPr>
            <w:tcW w:w="28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Loss for the year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(100,863</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(10,447</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(90,416</w:t>
            </w:r>
          </w:p>
        </w:tc>
        <w:tc>
          <w:tcPr>
            <w:tcW w:w="2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8"/>
                <w:szCs w:val="8"/>
                <w:b w:val="1"/>
                <w:bCs w:val="1"/>
                <w:color w:val="auto"/>
                <w:w w:val="7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865.5</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380" w:type="dxa"/>
            <w:vAlign w:val="bottom"/>
          </w:tcPr>
          <w:p>
            <w:pPr>
              <w:spacing w:after="0" w:line="199"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23"/>
                <w:szCs w:val="23"/>
                <w:b w:val="1"/>
                <w:bCs w:val="1"/>
                <w:color w:val="auto"/>
                <w:vertAlign w:val="superscript"/>
              </w:rPr>
              <w:t>(1)</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99,678</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84,619</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15,059</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17.8%</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706</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100,384</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15,765</w:t>
            </w:r>
          </w:p>
        </w:tc>
        <w:tc>
          <w:tcPr>
            <w:tcW w:w="1060" w:type="dxa"/>
            <w:vAlign w:val="bottom"/>
            <w:gridSpan w:val="2"/>
          </w:tcPr>
          <w:p>
            <w:pPr>
              <w:ind w:left="600"/>
              <w:spacing w:after="0"/>
              <w:rPr>
                <w:sz w:val="20"/>
                <w:szCs w:val="20"/>
                <w:color w:val="auto"/>
              </w:rPr>
            </w:pPr>
            <w:r>
              <w:rPr>
                <w:rFonts w:ascii="Arial" w:cs="Arial" w:eastAsia="Arial" w:hAnsi="Arial"/>
                <w:sz w:val="16"/>
                <w:szCs w:val="16"/>
                <w:b w:val="1"/>
                <w:bCs w:val="1"/>
                <w:color w:val="auto"/>
                <w:w w:val="96"/>
              </w:rPr>
              <w:t>18.6%</w:t>
            </w:r>
          </w:p>
        </w:tc>
        <w:tc>
          <w:tcPr>
            <w:tcW w:w="0" w:type="dxa"/>
            <w:vAlign w:val="bottom"/>
          </w:tcPr>
          <w:p>
            <w:pPr>
              <w:spacing w:after="0"/>
              <w:rPr>
                <w:sz w:val="1"/>
                <w:szCs w:val="1"/>
                <w:color w:val="auto"/>
              </w:rPr>
            </w:pPr>
          </w:p>
        </w:tc>
      </w:tr>
      <w:tr>
        <w:trPr>
          <w:trHeight w:val="227"/>
        </w:trPr>
        <w:tc>
          <w:tcPr>
            <w:tcW w:w="2380" w:type="dxa"/>
            <w:vAlign w:val="bottom"/>
            <w:shd w:val="clear" w:color="auto" w:fill="CCEEFF"/>
          </w:tcPr>
          <w:p>
            <w:pPr>
              <w:spacing w:after="0" w:line="227" w:lineRule="exact"/>
              <w:rPr>
                <w:sz w:val="20"/>
                <w:szCs w:val="20"/>
                <w:color w:val="auto"/>
              </w:rPr>
            </w:pPr>
            <w:r>
              <w:rPr>
                <w:rFonts w:ascii="Arial" w:cs="Arial" w:eastAsia="Arial" w:hAnsi="Arial"/>
                <w:sz w:val="16"/>
                <w:szCs w:val="16"/>
                <w:b w:val="1"/>
                <w:bCs w:val="1"/>
                <w:color w:val="auto"/>
              </w:rPr>
              <w:t>Contribution Margin</w:t>
            </w:r>
            <w:r>
              <w:rPr>
                <w:rFonts w:ascii="Arial" w:cs="Arial" w:eastAsia="Arial" w:hAnsi="Arial"/>
                <w:sz w:val="26"/>
                <w:szCs w:val="26"/>
                <w:b w:val="1"/>
                <w:bCs w:val="1"/>
                <w:color w:val="auto"/>
                <w:vertAlign w:val="superscript"/>
              </w:rPr>
              <w:t>(1)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152,656</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121,685</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30,971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25.5%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1,600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154,256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32,571</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6"/>
                <w:szCs w:val="16"/>
                <w:b w:val="1"/>
                <w:bCs w:val="1"/>
                <w:color w:val="auto"/>
                <w:w w:val="96"/>
              </w:rPr>
              <w:t>26.8%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284" w:hanging="284"/>
        <w:spacing w:after="0" w:line="273" w:lineRule="auto"/>
        <w:tabs>
          <w:tab w:leader="none" w:pos="284"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Contribution Margin and Adjusted EBITDA are non-IFRS measures. We include these metrics as supplemental disclosures because we believe they are useful indicators of our operating performance. Contribution Margin and Adjusted EBITDA are well recognized performance measures in the pharmaceutical industry that are frequently used by investors, securities analysts and other interested parties in comparing the operating performance of companies in our industry. However, because Contribution Margin and Adjusted EBITDA are non-IFRS measures and their calculation is not determined in accordance with IFRS, such measures are susceptible to varying calculations and not all companies calculate the measures in the same manner. As a result, our calculation of Contribution Margin and Adjusted EBITDA as presented may not be directly comparable to similarly titled measures by other companies. For more information on Contribution Margin, Adjusted EBITDA and other non-IFRS financial measures, please see below under the heading “</w:t>
      </w:r>
      <w:r>
        <w:rPr>
          <w:rFonts w:ascii="Arial" w:cs="Arial" w:eastAsia="Arial" w:hAnsi="Arial"/>
          <w:sz w:val="15"/>
          <w:szCs w:val="15"/>
          <w:i w:val="1"/>
          <w:iCs w:val="1"/>
          <w:color w:val="auto"/>
        </w:rPr>
        <w:t>— Non-IFRS Financial Measures</w:t>
      </w:r>
      <w:r>
        <w:rPr>
          <w:rFonts w:ascii="Arial" w:cs="Arial" w:eastAsia="Arial" w:hAnsi="Arial"/>
          <w:sz w:val="15"/>
          <w:szCs w:val="15"/>
          <w:color w:val="auto"/>
        </w:rPr>
        <w:t>” in this annual report.</w:t>
      </w:r>
    </w:p>
    <w:p>
      <w:pPr>
        <w:spacing w:after="0" w:line="156" w:lineRule="exact"/>
        <w:rPr>
          <w:rFonts w:ascii="Arial" w:cs="Arial" w:eastAsia="Arial" w:hAnsi="Arial"/>
          <w:sz w:val="15"/>
          <w:szCs w:val="15"/>
          <w:color w:val="auto"/>
        </w:rPr>
      </w:pPr>
    </w:p>
    <w:p>
      <w:pPr>
        <w:jc w:val="both"/>
        <w:ind w:left="284" w:hanging="284"/>
        <w:spacing w:after="0" w:line="273" w:lineRule="auto"/>
        <w:tabs>
          <w:tab w:leader="none" w:pos="284" w:val="left"/>
        </w:tabs>
        <w:numPr>
          <w:ilvl w:val="0"/>
          <w:numId w:val="26"/>
        </w:numPr>
        <w:rPr>
          <w:rFonts w:ascii="Arial" w:cs="Arial" w:eastAsia="Arial" w:hAnsi="Arial"/>
          <w:sz w:val="15"/>
          <w:szCs w:val="15"/>
          <w:color w:val="auto"/>
        </w:rPr>
      </w:pPr>
      <w:r>
        <w:rPr>
          <w:rFonts w:ascii="Arial" w:cs="Arial" w:eastAsia="Arial" w:hAnsi="Arial"/>
          <w:sz w:val="15"/>
          <w:szCs w:val="15"/>
          <w:color w:val="auto"/>
        </w:rPr>
        <w:t>As exchange rates are an important factor in understanding period-to-period comparisons, we believe the presentation of certain financial metrics and results on a constant currency basis in addition to the IFRS reported results helps improve investors’ ability to understand our operating results and evaluate our performance in comparison to prior periods. Constant currency information is non-IFRS financial information that compares results between periods as if exchange rates had remained constant period-over-period. We calculate constant currency by calculating year-end period results (year ended December 31, 2021) using prior-period (year ended December 31, 2020) foreign currency exchange rates. Results on a constant currency basis, as we present them, may not be comparable to similarly titled measures used by other companies and are not measures of performance presented in accordance with IFRS. For more information on constant currency adjustments, please see below under the heading “</w:t>
      </w:r>
      <w:r>
        <w:rPr>
          <w:rFonts w:ascii="Arial" w:cs="Arial" w:eastAsia="Arial" w:hAnsi="Arial"/>
          <w:sz w:val="15"/>
          <w:szCs w:val="15"/>
          <w:i w:val="1"/>
          <w:iCs w:val="1"/>
          <w:color w:val="auto"/>
        </w:rPr>
        <w:t>— Non-IFRS Financial Measures</w:t>
      </w:r>
      <w:r>
        <w:rPr>
          <w:rFonts w:ascii="Arial" w:cs="Arial" w:eastAsia="Arial" w:hAnsi="Arial"/>
          <w:sz w:val="15"/>
          <w:szCs w:val="15"/>
          <w:color w:val="auto"/>
        </w:rPr>
        <w:t>” in this annual report.</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Revenue</w:t>
      </w:r>
    </w:p>
    <w:p>
      <w:pPr>
        <w:spacing w:after="0" w:line="198"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Procaps recognizes revenue from the sale of pharmaceutical products and licensing revenue. Revenue increased by $78.3 million, or 23.6%, from $331.5 million for the year ended December 31, 2020 to $409.7 million for 2021. On a constant currency basis, revenue increased by $84.92 million, or 25.6%, from $331.5 million for the year ended December 31, 2020 to $416.4 million for the year ended December 31, 2021.</w:t>
      </w:r>
    </w:p>
    <w:p>
      <w:pPr>
        <w:spacing w:after="0" w:line="35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66" w:name="page67"/>
    <w:bookmarkEnd w:id="66"/>
    <w:p>
      <w:pPr>
        <w:jc w:val="both"/>
        <w:ind w:firstLine="574"/>
        <w:spacing w:after="0" w:line="276" w:lineRule="auto"/>
        <w:rPr>
          <w:sz w:val="20"/>
          <w:szCs w:val="20"/>
          <w:color w:val="auto"/>
        </w:rPr>
      </w:pPr>
      <w:r>
        <w:rPr>
          <w:rFonts w:ascii="Arial" w:cs="Arial" w:eastAsia="Arial" w:hAnsi="Arial"/>
          <w:sz w:val="15"/>
          <w:szCs w:val="15"/>
          <w:color w:val="auto"/>
        </w:rPr>
        <w:t>The increase in revenue for the year ended December 31, 2021 compared to the year ended December 31, 2020 was primarily due to an increase in demand for our products and services across all strategic business segments (Procaps Colombia, NextGel, CAN, CASAND and Diabetrics), including (i) an increase of approximately $60.7 million in sales from existing brands in several therapeutic categories, such as gastrointestinal, respiratory, anesthetics and wellness products, among others, and (ii) an increase in revenue from the sales of new products of approximately $17.6 million, or 22.3%, from $78.7 million for the year ended December 31, 2020 to $96.3 million for the year ended December 31, 2021 amounting to 23.5% of total revenue for the year ended December 31, 2021.</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sales and gross profit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cost of sales represents the direct costs of producing the goods sold by Procaps, such as cost of the materials and labor directly used to create the goods. Gross profit is revenue less cost of sales.</w:t>
      </w:r>
    </w:p>
    <w:p>
      <w:pPr>
        <w:spacing w:after="0" w:line="152" w:lineRule="exact"/>
        <w:rPr>
          <w:sz w:val="20"/>
          <w:szCs w:val="20"/>
          <w:color w:val="auto"/>
        </w:rPr>
      </w:pPr>
    </w:p>
    <w:p>
      <w:pPr>
        <w:jc w:val="both"/>
        <w:ind w:firstLine="574"/>
        <w:spacing w:after="0" w:line="349" w:lineRule="auto"/>
        <w:rPr>
          <w:sz w:val="20"/>
          <w:szCs w:val="20"/>
          <w:color w:val="auto"/>
        </w:rPr>
      </w:pPr>
      <w:r>
        <w:rPr>
          <w:rFonts w:ascii="Arial" w:cs="Arial" w:eastAsia="Arial" w:hAnsi="Arial"/>
          <w:sz w:val="14"/>
          <w:szCs w:val="14"/>
          <w:color w:val="auto"/>
        </w:rPr>
        <w:t>Cost of sales increased by $33.9 million, or 24.2%, from $140.2 million for the year ended December 31, 2020 to $174.0 million for the year ended December 31, 2021. Gross profit increased by $44.4 million, or 23.2%, from $191.3 million for the year ended December 31, 2020 to $235.7 million for the year ended December 31, 2021.</w:t>
      </w:r>
    </w:p>
    <w:p>
      <w:pPr>
        <w:spacing w:after="0" w:line="10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On a constant currency basis, cost of sales increased by $38.1 million, or 27.2%, from $140.2 million for the year ended December 31, 2020 to $178.3 million for the year ended December 31, 2021. Gross profit increased by $46.8 million, or 24.5%, from $191.3 million for the year ended December 31, 2020 to $238.1 million for the year ended December 31, 2021.</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increase in cost of sales for the year ended December 31, 2021 compared to the year ended December 31, 2020 was primarily due to the strong increase in the volume of products sold as described in the “Revenue” section above.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increase in gross profit for the year ended December 31, 2021 compared to the year ended December 31, 2020 was also primarily attributable to strong increase in our sales volume of products sold as described above.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 expenses</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Sales and marketing expenses include primarily expenses incurred for promotional activities, such as marketing expenses, sales force and logistics expenses. Sales and marketing expenses increased by $13.4 million, or 19.3%, from $69.6 million for the year ended December 31, 2020, which represents approximately 21.0% of revenue for the year ended December 31, 2020, to $83.1 million for the year ended December 31, 2021, which represents approximately 20.3% of the revenue for the year ended December 31, 2021. On a constant currency basis, sales and marketing expenses increased by $14.2 million, or 20.5%, from $69.6 million for the year ended December 31, 2020 to $83.9 million for the year ended December 31, 2021.</w:t>
      </w:r>
    </w:p>
    <w:p>
      <w:pPr>
        <w:spacing w:after="0" w:line="170"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The increase in sales and marketing expenses for the year ended December 31, 2021 compared to the year ended December 31, 2020 was primarily due to the increase in expenditures in the amount of $12.1 million related to advertising and marketing activities, and an increase in expenses related to in-person sales events and travel, which returned as the COVID-19 pandemic situation improved worldwide and travel and gathering restrictions were eased, permitting such events and activities.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Administrative expenses</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Administrative expenses include costs incurred for administrative and certain corporate departments, such as payroll, power and utilities, and certain legal and professional expenses. Administrative expenses increased by $23.6 million, or 40.2%, from $58.6 million for the year ended December 31, 2020 to $82.2 million for the year ended December 31, 2021. On a constant currency basis, administrative expenses increased by $24.5 million, or 41.8%, from $58.6 million for the year ended December 31, 2020 to $83.1 million for the year ended December 31, 2021.</w:t>
      </w:r>
    </w:p>
    <w:p>
      <w:pPr>
        <w:spacing w:after="0" w:line="165"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The increase in administrative expenses for the year ended December 31, 2021 compared to the year ended December 31, 2020 was primarily due to (i) the transaction expenses incurred in connection with the Business Combination which amounted to $10.2 million for the year ended December 31, 2021, (ii) an increase in expenditures related to employee safety in connection with the COVID-19 pandemic, such as transportation, personal protection equipment, COVID-19 testing for employees, vaccination, among other expenditures, in the amount of $3.8 million, (iii) an increase in travel expenses as most countries relaxed lockdowns and travel restrictions as the situation surrounding the COVID-19 pandemic has gradually improved during the year ended December 31, 2021, and (iv) an increase in costs and other expenses to accommodate new, emerging roles within the administrative and finance departments of the Company as a result of our growth and becoming a publicly listed company on the Nasdaq. In addition, certain of our departments have also initiated a plan to return to work at our facilities, which has also contributed to the increase in administrative expenses.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i w:val="1"/>
          <w:iCs w:val="1"/>
          <w:color w:val="auto"/>
        </w:rPr>
        <w:t>Finance expenses, net</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Finance expenses, net include certain banking expenses and bank fees, financing interest expenses, interest recognized on the financial liabilities associated with certain put options held by IFC and Hoche, and a one-time loss on the termination of such put options. On the Closing of the Business Combination, the IFC Put Option Agreement and the Hoche Put Option Agreement (both as defined below) were cancelled as part of the Business Combination in exchange for a portion of the Ordinary Shares issued to IFC and Hoche, respectively, in the Exchange. The one-time loss on termination of the Hoche put option in the amount of $35.9 million, aligns the carrying value of such put option on the termination date to the fair value of the Ordinary Shares issued.</w:t>
      </w:r>
    </w:p>
    <w:p>
      <w:pPr>
        <w:spacing w:after="0" w:line="15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Finance expenses, net increased by $24.1 million, or 44.3%, from $54.5 million for the year ended December 31, 2020 to $78.6 million for the year ended December 31, 2021. The increase in finance expenses, net was primarily due to the increase of the one-time extinguishment loss of the Hoche put option in the amount of $35.9 million. The increase was partially offset by (i) a decrease of approximately $3.8 million, or 14.0%, in interest expenses related to the put options financial liabilities, from $27.3 million for the year ended December 31, 2020 to $23.5 million for the year ended December 31, 2021, and (ii) a net fair value gain related to warrants liabilities and shares held in escrow.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expenses, net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Other expenses, net include: (i) currency exchange rate differences, (ii) economic emergency contribution expenses, (iii) fines, penalties, and assumed taxes, (iv) donations, (v) listing expenses, (vi) the change in the fair value of the warrant liability, and (vii) other expenses.</w:t>
      </w:r>
    </w:p>
    <w:p>
      <w:pPr>
        <w:spacing w:after="0" w:line="15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Other expenses increased by $71.3 million, or 923.7%, from $7.7 million for the year ended December 31, 2020 to $79.0 million for the year ended December 31, 2021. The increase in other expenses was primarily due to the recording of non-cash listing expenses of $73.9 million associated with the deemed listing services received by Procaps from Union, which is the difference between the deemed costs of the Ordinary Shares issued by the Company to Union shareholders in connection with the Business Combination, in excess of the net assets obtained from Union.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Income tax expense includes two components: (i) current tax and (ii) deferred tax. Current tax is calculated based on the tax rate of each jurisdiction. Deferred tax corresponds to the differences generated between the accounting figures and tax figures, which can result in a future income or expense.</w:t>
      </w:r>
    </w:p>
    <w:p>
      <w:pPr>
        <w:spacing w:after="0" w:line="15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Income tax expense increased by $2.4 million, or 21.3%, from $11.3 million for the year ended December 31, 2020 to $13.7 million for the year ended December 31, 2021. The increase in income tax expense was primarily due to (i) higher profits before taxes in some jurisdictions, and an increase in deferred tax liabilities due to the increase in the tax rate in Colombia, resulting in an increase in income tax expenses of approximately $1.7 million, and (ii) certain amendments to the tax returns of certain of our subsidiaries during the year ended December 31, 2021, resulting in $0.7 million in penalties and related nondeductible interest expenses, resulting in higher tax expenses recognized in the period.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68" w:name="page69"/>
    <w:bookmarkEnd w:id="68"/>
    <w:tbl>
      <w:tblPr>
        <w:tblLayout w:type="fixed"/>
        <w:tblInd w:w="4" w:type="dxa"/>
        <w:tblCellMar>
          <w:top w:w="0" w:type="dxa"/>
          <w:left w:w="0" w:type="dxa"/>
          <w:bottom w:w="0" w:type="dxa"/>
          <w:right w:w="0" w:type="dxa"/>
        </w:tblCellMar>
      </w:tblPr>
      <w:tr>
        <w:trPr>
          <w:trHeight w:val="204"/>
        </w:trPr>
        <w:tc>
          <w:tcPr>
            <w:tcW w:w="5600" w:type="dxa"/>
            <w:vAlign w:val="bottom"/>
            <w:gridSpan w:val="7"/>
          </w:tcPr>
          <w:p>
            <w:pPr>
              <w:spacing w:after="0"/>
              <w:rPr>
                <w:sz w:val="20"/>
                <w:szCs w:val="20"/>
                <w:color w:val="auto"/>
              </w:rPr>
            </w:pPr>
            <w:r>
              <w:rPr>
                <w:rFonts w:ascii="Arial" w:cs="Arial" w:eastAsia="Arial" w:hAnsi="Arial"/>
                <w:sz w:val="16"/>
                <w:szCs w:val="16"/>
                <w:b w:val="1"/>
                <w:bCs w:val="1"/>
                <w:i w:val="1"/>
                <w:iCs w:val="1"/>
                <w:color w:val="auto"/>
                <w:w w:val="97"/>
              </w:rPr>
              <w:t>Comparison of the Years Ended December 31, 2020 and December 31, 2019</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10180" w:type="dxa"/>
            <w:vAlign w:val="bottom"/>
            <w:gridSpan w:val="15"/>
          </w:tcPr>
          <w:p>
            <w:pPr>
              <w:ind w:left="560"/>
              <w:spacing w:after="0"/>
              <w:rPr>
                <w:sz w:val="20"/>
                <w:szCs w:val="20"/>
                <w:color w:val="auto"/>
              </w:rPr>
            </w:pPr>
            <w:r>
              <w:rPr>
                <w:rFonts w:ascii="Arial" w:cs="Arial" w:eastAsia="Arial" w:hAnsi="Arial"/>
                <w:sz w:val="16"/>
                <w:szCs w:val="16"/>
                <w:color w:val="auto"/>
                <w:w w:val="94"/>
              </w:rPr>
              <w:t>The following table sets forth historical operating results for the periods indicated, which were not impacted by the restatement described above:</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300" w:type="dxa"/>
            <w:vAlign w:val="bottom"/>
          </w:tcPr>
          <w:p>
            <w:pPr>
              <w:spacing w:after="0"/>
              <w:rPr>
                <w:sz w:val="24"/>
                <w:szCs w:val="24"/>
                <w:color w:val="auto"/>
              </w:rPr>
            </w:pPr>
          </w:p>
        </w:tc>
        <w:tc>
          <w:tcPr>
            <w:tcW w:w="19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For the year ended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For the year ended</w:t>
            </w:r>
          </w:p>
        </w:tc>
        <w:tc>
          <w:tcPr>
            <w:tcW w:w="218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Constant Currency</w:t>
            </w: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198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c>
          <w:tcPr>
            <w:tcW w:w="230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Increase/(Decrease)</w:t>
            </w:r>
          </w:p>
        </w:tc>
        <w:tc>
          <w:tcPr>
            <w:tcW w:w="2280" w:type="dxa"/>
            <w:vAlign w:val="bottom"/>
            <w:gridSpan w:val="4"/>
          </w:tcPr>
          <w:p>
            <w:pPr>
              <w:jc w:val="right"/>
              <w:ind w:right="800"/>
              <w:spacing w:after="0"/>
              <w:rPr>
                <w:sz w:val="20"/>
                <w:szCs w:val="20"/>
                <w:color w:val="auto"/>
              </w:rPr>
            </w:pPr>
            <w:r>
              <w:rPr>
                <w:rFonts w:ascii="Arial" w:cs="Arial" w:eastAsia="Arial" w:hAnsi="Arial"/>
                <w:sz w:val="16"/>
                <w:szCs w:val="16"/>
                <w:b w:val="1"/>
                <w:bCs w:val="1"/>
                <w:color w:val="auto"/>
              </w:rPr>
              <w:t>December 31</w:t>
            </w:r>
          </w:p>
        </w:tc>
        <w:tc>
          <w:tcPr>
            <w:tcW w:w="218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Increase/(Decrease)</w:t>
            </w: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2"/>
              </w:rPr>
              <w:t>2020 -</w:t>
            </w: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8"/>
              </w:rPr>
              <w:t>2020 -</w:t>
            </w: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Constant</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Constant</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Currency</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300" w:type="dxa"/>
            <w:vAlign w:val="bottom"/>
          </w:tcPr>
          <w:p>
            <w:pPr>
              <w:spacing w:after="0"/>
              <w:rPr>
                <w:sz w:val="21"/>
                <w:szCs w:val="21"/>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1"/>
                <w:szCs w:val="21"/>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 Change</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 Change</w:t>
            </w:r>
          </w:p>
        </w:tc>
        <w:tc>
          <w:tcPr>
            <w:tcW w:w="1180" w:type="dxa"/>
            <w:vAlign w:val="bottom"/>
            <w:gridSpan w:val="2"/>
          </w:tcPr>
          <w:p>
            <w:pPr>
              <w:jc w:val="right"/>
              <w:ind w:right="220"/>
              <w:spacing w:after="0" w:line="240" w:lineRule="exact"/>
              <w:rPr>
                <w:sz w:val="20"/>
                <w:szCs w:val="20"/>
                <w:color w:val="auto"/>
              </w:rPr>
            </w:pPr>
            <w:r>
              <w:rPr>
                <w:rFonts w:ascii="Arial" w:cs="Arial" w:eastAsia="Arial" w:hAnsi="Arial"/>
                <w:sz w:val="16"/>
                <w:szCs w:val="16"/>
                <w:b w:val="1"/>
                <w:bCs w:val="1"/>
                <w:color w:val="auto"/>
                <w:w w:val="86"/>
              </w:rPr>
              <w:t>Adjustment</w:t>
            </w:r>
            <w:r>
              <w:rPr>
                <w:rFonts w:ascii="Arial" w:cs="Arial" w:eastAsia="Arial" w:hAnsi="Arial"/>
                <w:sz w:val="26"/>
                <w:szCs w:val="26"/>
                <w:b w:val="1"/>
                <w:bCs w:val="1"/>
                <w:color w:val="auto"/>
                <w:w w:val="86"/>
                <w:vertAlign w:val="superscript"/>
              </w:rPr>
              <w:t>(2)</w:t>
            </w:r>
          </w:p>
        </w:tc>
        <w:tc>
          <w:tcPr>
            <w:tcW w:w="1100" w:type="dxa"/>
            <w:vAlign w:val="bottom"/>
            <w:gridSpan w:val="2"/>
          </w:tcPr>
          <w:p>
            <w:pPr>
              <w:jc w:val="center"/>
              <w:ind w:right="220"/>
              <w:spacing w:after="0" w:line="240" w:lineRule="exact"/>
              <w:rPr>
                <w:sz w:val="20"/>
                <w:szCs w:val="20"/>
                <w:color w:val="auto"/>
              </w:rPr>
            </w:pPr>
            <w:r>
              <w:rPr>
                <w:rFonts w:ascii="Arial" w:cs="Arial" w:eastAsia="Arial" w:hAnsi="Arial"/>
                <w:sz w:val="16"/>
                <w:szCs w:val="16"/>
                <w:b w:val="1"/>
                <w:bCs w:val="1"/>
                <w:color w:val="auto"/>
                <w:w w:val="81"/>
              </w:rPr>
              <w:t>Basis</w:t>
            </w:r>
            <w:r>
              <w:rPr>
                <w:rFonts w:ascii="Arial" w:cs="Arial" w:eastAsia="Arial" w:hAnsi="Arial"/>
                <w:sz w:val="26"/>
                <w:szCs w:val="26"/>
                <w:b w:val="1"/>
                <w:bCs w:val="1"/>
                <w:color w:val="auto"/>
                <w:w w:val="81"/>
                <w:vertAlign w:val="superscript"/>
              </w:rPr>
              <w:t>(2)</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 Change</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580" w:type="dxa"/>
            <w:vAlign w:val="bottom"/>
            <w:tcBorders>
              <w:top w:val="single" w:sz="8" w:color="auto"/>
            </w:tcBorders>
            <w:gridSpan w:val="8"/>
          </w:tcPr>
          <w:p>
            <w:pPr>
              <w:jc w:val="right"/>
              <w:ind w:right="780"/>
              <w:spacing w:after="0"/>
              <w:rPr>
                <w:sz w:val="20"/>
                <w:szCs w:val="20"/>
                <w:color w:val="auto"/>
              </w:rPr>
            </w:pPr>
            <w:r>
              <w:rPr>
                <w:rFonts w:ascii="Arial" w:cs="Arial" w:eastAsia="Arial" w:hAnsi="Arial"/>
                <w:sz w:val="16"/>
                <w:szCs w:val="16"/>
                <w:color w:val="auto"/>
              </w:rPr>
              <w:t>(in thousands of U.S. dollars except percentages)</w:t>
            </w: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331,467</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324,792</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6,675</w:t>
            </w: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32,070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363,537</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38,745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5"/>
        </w:trPr>
        <w:tc>
          <w:tcPr>
            <w:tcW w:w="2300" w:type="dxa"/>
            <w:vAlign w:val="bottom"/>
          </w:tcPr>
          <w:p>
            <w:pPr>
              <w:spacing w:after="0"/>
              <w:rPr>
                <w:sz w:val="20"/>
                <w:szCs w:val="20"/>
                <w:color w:val="auto"/>
              </w:rPr>
            </w:pPr>
            <w:r>
              <w:rPr>
                <w:rFonts w:ascii="Arial" w:cs="Arial" w:eastAsia="Arial" w:hAnsi="Arial"/>
                <w:sz w:val="16"/>
                <w:szCs w:val="16"/>
                <w:color w:val="auto"/>
              </w:rPr>
              <w:t>Cost of sales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(140,153)</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(142,294)</w:t>
            </w:r>
          </w:p>
        </w:tc>
        <w:tc>
          <w:tcPr>
            <w:tcW w:w="880" w:type="dxa"/>
            <w:vAlign w:val="bottom"/>
          </w:tcPr>
          <w:p>
            <w:pPr>
              <w:jc w:val="right"/>
              <w:spacing w:after="0"/>
              <w:rPr>
                <w:sz w:val="20"/>
                <w:szCs w:val="20"/>
                <w:color w:val="auto"/>
              </w:rPr>
            </w:pPr>
            <w:r>
              <w:rPr>
                <w:rFonts w:ascii="Arial" w:cs="Arial" w:eastAsia="Arial" w:hAnsi="Arial"/>
                <w:sz w:val="16"/>
                <w:szCs w:val="16"/>
                <w:color w:val="auto"/>
              </w:rPr>
              <w:t>2,141</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(13,808)</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(153,961)</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(11,667)</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4"/>
        </w:trPr>
        <w:tc>
          <w:tcPr>
            <w:tcW w:w="230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30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191,314</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182,498</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8,816</w:t>
            </w:r>
          </w:p>
        </w:tc>
        <w:tc>
          <w:tcPr>
            <w:tcW w:w="22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18,262</w:t>
            </w:r>
          </w:p>
        </w:tc>
        <w:tc>
          <w:tcPr>
            <w:tcW w:w="22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209,576</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27,078</w:t>
            </w:r>
          </w:p>
        </w:tc>
        <w:tc>
          <w:tcPr>
            <w:tcW w:w="220" w:type="dxa"/>
            <w:vAlign w:val="bottom"/>
            <w:vMerge w:val="continue"/>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14.8%</w:t>
            </w: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 expenses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(69,629)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(84,810)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15,181</w:t>
            </w:r>
          </w:p>
        </w:tc>
        <w:tc>
          <w:tcPr>
            <w:tcW w:w="12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(17.9)%</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(5,362)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(74,991)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9,819</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91"/>
        </w:trPr>
        <w:tc>
          <w:tcPr>
            <w:tcW w:w="2300" w:type="dxa"/>
            <w:vAlign w:val="bottom"/>
          </w:tcPr>
          <w:p>
            <w:pPr>
              <w:spacing w:after="0"/>
              <w:rPr>
                <w:sz w:val="20"/>
                <w:szCs w:val="20"/>
                <w:color w:val="auto"/>
              </w:rPr>
            </w:pPr>
            <w:r>
              <w:rPr>
                <w:rFonts w:ascii="Arial" w:cs="Arial" w:eastAsia="Arial" w:hAnsi="Arial"/>
                <w:sz w:val="16"/>
                <w:szCs w:val="16"/>
                <w:color w:val="auto"/>
              </w:rPr>
              <w:t>Administrative expenses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(58,631)</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(60,257)</w:t>
            </w:r>
          </w:p>
        </w:tc>
        <w:tc>
          <w:tcPr>
            <w:tcW w:w="880" w:type="dxa"/>
            <w:vAlign w:val="bottom"/>
          </w:tcPr>
          <w:p>
            <w:pPr>
              <w:jc w:val="right"/>
              <w:spacing w:after="0"/>
              <w:rPr>
                <w:sz w:val="20"/>
                <w:szCs w:val="20"/>
                <w:color w:val="auto"/>
              </w:rPr>
            </w:pPr>
            <w:r>
              <w:rPr>
                <w:rFonts w:ascii="Arial" w:cs="Arial" w:eastAsia="Arial" w:hAnsi="Arial"/>
                <w:sz w:val="16"/>
                <w:szCs w:val="16"/>
                <w:color w:val="auto"/>
              </w:rPr>
              <w:t>1,626</w:t>
            </w:r>
          </w:p>
        </w:tc>
        <w:tc>
          <w:tcPr>
            <w:tcW w:w="22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(2.7)%</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(5,759)</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(64,390)</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(4,133)</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Finance expenses, net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(54,489)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(42,983)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(11,506)</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26.8%</w:t>
            </w: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6"/>
                <w:szCs w:val="16"/>
                <w:color w:val="auto"/>
              </w:rPr>
              <w:t>Other expenses</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(7,716</w:t>
            </w:r>
          </w:p>
        </w:tc>
        <w:tc>
          <w:tcPr>
            <w:tcW w:w="220" w:type="dxa"/>
            <w:vAlign w:val="bottom"/>
          </w:tcPr>
          <w:p>
            <w:pPr>
              <w:jc w:val="right"/>
              <w:ind w:right="80"/>
              <w:spacing w:after="0" w:line="155" w:lineRule="exact"/>
              <w:rPr>
                <w:sz w:val="20"/>
                <w:szCs w:val="20"/>
                <w:color w:val="auto"/>
              </w:rPr>
            </w:pPr>
            <w:r>
              <w:rPr>
                <w:rFonts w:ascii="Arial" w:cs="Arial" w:eastAsia="Arial" w:hAnsi="Arial"/>
                <w:sz w:val="16"/>
                <w:szCs w:val="16"/>
                <w:color w:val="auto"/>
                <w:w w:val="74"/>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(4,426</w:t>
            </w:r>
          </w:p>
        </w:tc>
        <w:tc>
          <w:tcPr>
            <w:tcW w:w="220" w:type="dxa"/>
            <w:vAlign w:val="bottom"/>
          </w:tcPr>
          <w:p>
            <w:pPr>
              <w:jc w:val="right"/>
              <w:ind w:right="80"/>
              <w:spacing w:after="0" w:line="155" w:lineRule="exact"/>
              <w:rPr>
                <w:sz w:val="20"/>
                <w:szCs w:val="20"/>
                <w:color w:val="auto"/>
              </w:rPr>
            </w:pPr>
            <w:r>
              <w:rPr>
                <w:rFonts w:ascii="Arial" w:cs="Arial" w:eastAsia="Arial" w:hAnsi="Arial"/>
                <w:sz w:val="16"/>
                <w:szCs w:val="16"/>
                <w:color w:val="auto"/>
                <w:w w:val="74"/>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(3,290)</w:t>
            </w:r>
          </w:p>
        </w:tc>
        <w:tc>
          <w:tcPr>
            <w:tcW w:w="1200" w:type="dxa"/>
            <w:vAlign w:val="bottom"/>
            <w:gridSpan w:val="2"/>
          </w:tcPr>
          <w:p>
            <w:pPr>
              <w:ind w:left="880"/>
              <w:spacing w:after="0" w:line="155" w:lineRule="exact"/>
              <w:rPr>
                <w:sz w:val="20"/>
                <w:szCs w:val="20"/>
                <w:color w:val="auto"/>
              </w:rPr>
            </w:pPr>
            <w:r>
              <w:rPr>
                <w:rFonts w:ascii="Arial" w:cs="Arial" w:eastAsia="Arial" w:hAnsi="Arial"/>
                <w:sz w:val="16"/>
                <w:szCs w:val="16"/>
                <w:color w:val="auto"/>
              </w:rPr>
              <w:t>%</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23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00" w:type="dxa"/>
            <w:vAlign w:val="bottom"/>
            <w:gridSpan w:val="2"/>
          </w:tcPr>
          <w:p>
            <w:pPr>
              <w:jc w:val="right"/>
              <w:ind w:right="240"/>
              <w:spacing w:after="0" w:line="60" w:lineRule="exact"/>
              <w:rPr>
                <w:sz w:val="20"/>
                <w:szCs w:val="20"/>
                <w:color w:val="auto"/>
              </w:rPr>
            </w:pPr>
            <w:r>
              <w:rPr>
                <w:rFonts w:ascii="Arial" w:cs="Arial" w:eastAsia="Arial" w:hAnsi="Arial"/>
                <w:sz w:val="6"/>
                <w:szCs w:val="6"/>
                <w:color w:val="auto"/>
              </w:rPr>
              <w:t>74.3</w:t>
            </w: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30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Income (loss) before tax</w:t>
            </w: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30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849</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(9,978)</w:t>
            </w:r>
          </w:p>
        </w:tc>
        <w:tc>
          <w:tcPr>
            <w:tcW w:w="22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10,827</w:t>
            </w:r>
          </w:p>
        </w:tc>
        <w:tc>
          <w:tcPr>
            <w:tcW w:w="220" w:type="dxa"/>
            <w:vAlign w:val="bottom"/>
            <w:vMerge w:val="continue"/>
            <w:shd w:val="clear" w:color="auto" w:fill="CCEEFF"/>
          </w:tcPr>
          <w:p>
            <w:pPr>
              <w:spacing w:after="0"/>
              <w:rPr>
                <w:sz w:val="16"/>
                <w:szCs w:val="16"/>
                <w:color w:val="auto"/>
              </w:rPr>
            </w:pPr>
          </w:p>
        </w:tc>
        <w:tc>
          <w:tcPr>
            <w:tcW w:w="1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(108.5)%</w:t>
            </w: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6"/>
                <w:szCs w:val="16"/>
                <w:color w:val="auto"/>
              </w:rPr>
              <w:t>Income tax expense</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(11,296</w:t>
            </w:r>
          </w:p>
        </w:tc>
        <w:tc>
          <w:tcPr>
            <w:tcW w:w="220" w:type="dxa"/>
            <w:vAlign w:val="bottom"/>
          </w:tcPr>
          <w:p>
            <w:pPr>
              <w:jc w:val="right"/>
              <w:ind w:right="80"/>
              <w:spacing w:after="0" w:line="155" w:lineRule="exact"/>
              <w:rPr>
                <w:sz w:val="20"/>
                <w:szCs w:val="20"/>
                <w:color w:val="auto"/>
              </w:rPr>
            </w:pPr>
            <w:r>
              <w:rPr>
                <w:rFonts w:ascii="Arial" w:cs="Arial" w:eastAsia="Arial" w:hAnsi="Arial"/>
                <w:sz w:val="16"/>
                <w:szCs w:val="16"/>
                <w:color w:val="auto"/>
                <w:w w:val="74"/>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(7,035</w:t>
            </w:r>
          </w:p>
        </w:tc>
        <w:tc>
          <w:tcPr>
            <w:tcW w:w="220" w:type="dxa"/>
            <w:vAlign w:val="bottom"/>
          </w:tcPr>
          <w:p>
            <w:pPr>
              <w:jc w:val="right"/>
              <w:ind w:right="80"/>
              <w:spacing w:after="0" w:line="155" w:lineRule="exact"/>
              <w:rPr>
                <w:sz w:val="20"/>
                <w:szCs w:val="20"/>
                <w:color w:val="auto"/>
              </w:rPr>
            </w:pPr>
            <w:r>
              <w:rPr>
                <w:rFonts w:ascii="Arial" w:cs="Arial" w:eastAsia="Arial" w:hAnsi="Arial"/>
                <w:sz w:val="16"/>
                <w:szCs w:val="16"/>
                <w:color w:val="auto"/>
                <w:w w:val="74"/>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(4,261)</w:t>
            </w:r>
          </w:p>
        </w:tc>
        <w:tc>
          <w:tcPr>
            <w:tcW w:w="1200" w:type="dxa"/>
            <w:vAlign w:val="bottom"/>
            <w:gridSpan w:val="2"/>
          </w:tcPr>
          <w:p>
            <w:pPr>
              <w:ind w:left="880"/>
              <w:spacing w:after="0" w:line="155" w:lineRule="exact"/>
              <w:rPr>
                <w:sz w:val="20"/>
                <w:szCs w:val="20"/>
                <w:color w:val="auto"/>
              </w:rPr>
            </w:pPr>
            <w:r>
              <w:rPr>
                <w:rFonts w:ascii="Arial" w:cs="Arial" w:eastAsia="Arial" w:hAnsi="Arial"/>
                <w:sz w:val="16"/>
                <w:szCs w:val="16"/>
                <w:color w:val="auto"/>
              </w:rPr>
              <w:t>%</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3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00" w:type="dxa"/>
            <w:vAlign w:val="bottom"/>
            <w:gridSpan w:val="2"/>
          </w:tcPr>
          <w:p>
            <w:pPr>
              <w:jc w:val="right"/>
              <w:ind w:right="240"/>
              <w:spacing w:after="0" w:line="60" w:lineRule="exact"/>
              <w:rPr>
                <w:sz w:val="20"/>
                <w:szCs w:val="20"/>
                <w:color w:val="auto"/>
              </w:rPr>
            </w:pPr>
            <w:r>
              <w:rPr>
                <w:rFonts w:ascii="Arial" w:cs="Arial" w:eastAsia="Arial" w:hAnsi="Arial"/>
                <w:sz w:val="6"/>
                <w:szCs w:val="6"/>
                <w:color w:val="auto"/>
              </w:rPr>
              <w:t>60.6</w:t>
            </w: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Loss for the year</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(10,447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(17,013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6,566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(38.6</w:t>
            </w:r>
          </w:p>
        </w:tc>
        <w:tc>
          <w:tcPr>
            <w:tcW w:w="3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300" w:type="dxa"/>
            <w:vAlign w:val="bottom"/>
          </w:tcPr>
          <w:p>
            <w:pPr>
              <w:spacing w:after="0" w:line="199"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23"/>
                <w:szCs w:val="23"/>
                <w:b w:val="1"/>
                <w:bCs w:val="1"/>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84,619</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59,136</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25,483</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43.1%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8,836</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93,455</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34,319</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58.0%</w:t>
            </w:r>
          </w:p>
        </w:tc>
        <w:tc>
          <w:tcPr>
            <w:tcW w:w="0" w:type="dxa"/>
            <w:vAlign w:val="bottom"/>
          </w:tcPr>
          <w:p>
            <w:pPr>
              <w:spacing w:after="0"/>
              <w:rPr>
                <w:sz w:val="1"/>
                <w:szCs w:val="1"/>
                <w:color w:val="auto"/>
              </w:rPr>
            </w:pPr>
          </w:p>
        </w:tc>
      </w:tr>
      <w:tr>
        <w:trPr>
          <w:trHeight w:val="227"/>
        </w:trPr>
        <w:tc>
          <w:tcPr>
            <w:tcW w:w="2300" w:type="dxa"/>
            <w:vAlign w:val="bottom"/>
            <w:shd w:val="clear" w:color="auto" w:fill="CCEEFF"/>
          </w:tcPr>
          <w:p>
            <w:pPr>
              <w:spacing w:after="0" w:line="227" w:lineRule="exact"/>
              <w:rPr>
                <w:sz w:val="20"/>
                <w:szCs w:val="20"/>
                <w:color w:val="auto"/>
              </w:rPr>
            </w:pPr>
            <w:r>
              <w:rPr>
                <w:rFonts w:ascii="Arial" w:cs="Arial" w:eastAsia="Arial" w:hAnsi="Arial"/>
                <w:sz w:val="16"/>
                <w:szCs w:val="16"/>
                <w:b w:val="1"/>
                <w:bCs w:val="1"/>
                <w:color w:val="auto"/>
              </w:rPr>
              <w:t>Contribution Margin</w:t>
            </w:r>
            <w:r>
              <w:rPr>
                <w:rFonts w:ascii="Arial" w:cs="Arial" w:eastAsia="Arial" w:hAnsi="Arial"/>
                <w:sz w:val="26"/>
                <w:szCs w:val="26"/>
                <w:b w:val="1"/>
                <w:bCs w:val="1"/>
                <w:color w:val="auto"/>
                <w:vertAlign w:val="superscript"/>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121,685</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97,688</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23,997</w:t>
            </w:r>
          </w:p>
        </w:tc>
        <w:tc>
          <w:tcPr>
            <w:tcW w:w="12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24.6%</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12,900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134,585</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36,897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37.8%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284" w:hanging="284"/>
        <w:spacing w:after="0" w:line="273" w:lineRule="auto"/>
        <w:tabs>
          <w:tab w:leader="none" w:pos="284"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Contribution Margin and Adjusted EBITDA are non-IFRS measures. We include these metrics as supplemental disclosures because we believe they are useful indicators of our operating performance. Contribution Margin and Adjusted EBITDA are well recognized performance measures in the pharmaceutical industry that are frequently used by investors, securities analysts and other interested parties in comparing the operating performance of companies in our industry. However, because Contribution Margin and Adjusted EBITDA are non-IFRS measures and their calculation is not determined in accordance with IFRS, such measures are susceptible to varying calculations and not all companies calculate the measures in the same manner. As a result, our calculation of Contribution Margin and Adjusted EBITDA as presented may not be directly comparable to similarly titled measures by other companies. For more information on Contribution Margin, Adjusted EBITDA and other non-IFRS financial measures, please see below under the heading “</w:t>
      </w:r>
      <w:r>
        <w:rPr>
          <w:rFonts w:ascii="Arial" w:cs="Arial" w:eastAsia="Arial" w:hAnsi="Arial"/>
          <w:sz w:val="15"/>
          <w:szCs w:val="15"/>
          <w:i w:val="1"/>
          <w:iCs w:val="1"/>
          <w:color w:val="auto"/>
        </w:rPr>
        <w:t>— Non-IFRS Financial Measures</w:t>
      </w:r>
      <w:r>
        <w:rPr>
          <w:rFonts w:ascii="Arial" w:cs="Arial" w:eastAsia="Arial" w:hAnsi="Arial"/>
          <w:sz w:val="15"/>
          <w:szCs w:val="15"/>
          <w:color w:val="auto"/>
        </w:rPr>
        <w:t>” in this annual report.</w:t>
      </w:r>
    </w:p>
    <w:p>
      <w:pPr>
        <w:spacing w:after="0" w:line="156" w:lineRule="exact"/>
        <w:rPr>
          <w:rFonts w:ascii="Arial" w:cs="Arial" w:eastAsia="Arial" w:hAnsi="Arial"/>
          <w:sz w:val="15"/>
          <w:szCs w:val="15"/>
          <w:color w:val="auto"/>
        </w:rPr>
      </w:pPr>
    </w:p>
    <w:p>
      <w:pPr>
        <w:jc w:val="both"/>
        <w:ind w:left="284" w:hanging="284"/>
        <w:spacing w:after="0" w:line="272" w:lineRule="auto"/>
        <w:tabs>
          <w:tab w:leader="none" w:pos="284" w:val="left"/>
        </w:tabs>
        <w:numPr>
          <w:ilvl w:val="0"/>
          <w:numId w:val="27"/>
        </w:numPr>
        <w:rPr>
          <w:rFonts w:ascii="Arial" w:cs="Arial" w:eastAsia="Arial" w:hAnsi="Arial"/>
          <w:sz w:val="15"/>
          <w:szCs w:val="15"/>
          <w:color w:val="auto"/>
        </w:rPr>
      </w:pPr>
      <w:r>
        <w:rPr>
          <w:rFonts w:ascii="Arial" w:cs="Arial" w:eastAsia="Arial" w:hAnsi="Arial"/>
          <w:sz w:val="15"/>
          <w:szCs w:val="15"/>
          <w:color w:val="auto"/>
        </w:rPr>
        <w:t>As exchange rates are an important factor in understanding period-to-period comparisons, we believe the presentation of certain financial metrics and results on a constant currency basis in addition to the IFRS reported results helps improve investors’ ability to understand our operating results and evaluate our performance in comparison to prior periods. Constant currency information is non-IFRS financial information that compares results between periods as if exchange rates had remained constant period-over-period. We calculate constant currency by calculating year-end period results (year ended December 31, 2020) using prior-period (year ended December 31, 2019) foreign currency exchange rates. Results on a constant currency basis, as we present them, may not be comparable to similarly titled measures used by other companies and are not measures of performance presented in accordance with IFRS. Certain constant currency figures for the year ended December 31, 2020 have been updated to correct amounts reflected in the Company’s Registration Statement on Form F-1 (Registration No. 333-261366). For more information on constant currency adjustments, please see below under the heading “— Non-IFRS Financial Measures” in this annual report.</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i w:val="1"/>
          <w:iCs w:val="1"/>
          <w:color w:val="auto"/>
        </w:rPr>
        <w:t>Revenue</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Procaps recognizes revenue from the sale of pharmaceutical products and licensing revenue. Net revenue increased by $6.7 million, or 2.1%, from $324.8 million for the year ended December 31, 2019 to $331.5 million in December 31, 2020. On a constant currency basis, net revenue increased by $38.7 million, or 11.9%, from $324.8 million for the year ended December 31, 2019 to $363.5 million for the year ended December 31, 2020.</w:t>
      </w:r>
    </w:p>
    <w:p>
      <w:pPr>
        <w:spacing w:after="0" w:line="162"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The increase in revenue in the year ended December 31, 2020 compared to the year ended December 31, 2019 was primarily due to the launch of certain new innovative products and the increase in demand for certain existing products due to promotional and marketing activities, as well as consumers’ increased health awareness.</w:t>
      </w:r>
    </w:p>
    <w:p>
      <w:pPr>
        <w:spacing w:after="0" w:line="105"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Products such as Levothyroxine, Azithromycin, Esomeprazole and Deferon experienced increased sales, resulting in an increase in sales of $3.5 million from $8.7 million for the year ended December 31, 2019 to $12.2 million for the year ended December 31, 2020. Additionally, the sale of new products in our Diabetrics segment (primarily Preventia complex and Atovarol 80) increased sales revenue in the segment by $0.9 million in the year ended December 31, 2020 compared to the year ended December 31, 2019. Furthermore, the roll out of new products (such as Gestavid DHA, Ezolium and Clenox) in the CASAND region generated an additional $3.4 million in sales in the year ended December 31, 2020 compared to the year ended December 31, 2019. Also, our Funtrition product line increased its sales by approximately $7.0 million in the year ended December 31, 2020 compared to the year ended December 31, 2019, primarily from an increase in sales of its gummies and probiotics line (including sleep, stress, focus, mood, turmeric and immunity gummies). The increase in sales of vitamin D in Brazil and Acetaminophen in Ecuador contributed to an increase in revenue of $3.2 million and $3.0 million, respectively, in the year ended December 31, 2020 compared to the year ended December 31, 2019.</w:t>
      </w:r>
    </w:p>
    <w:p>
      <w:pPr>
        <w:spacing w:after="0" w:line="143" w:lineRule="exact"/>
        <w:rPr>
          <w:sz w:val="20"/>
          <w:szCs w:val="20"/>
          <w:color w:val="auto"/>
        </w:rPr>
      </w:pPr>
    </w:p>
    <w:p>
      <w:pPr>
        <w:jc w:val="both"/>
        <w:ind w:firstLine="574"/>
        <w:spacing w:after="0" w:line="293" w:lineRule="auto"/>
        <w:rPr>
          <w:sz w:val="20"/>
          <w:szCs w:val="20"/>
          <w:color w:val="auto"/>
        </w:rPr>
      </w:pPr>
      <w:r>
        <w:rPr>
          <w:rFonts w:ascii="Arial" w:cs="Arial" w:eastAsia="Arial" w:hAnsi="Arial"/>
          <w:sz w:val="14"/>
          <w:szCs w:val="14"/>
          <w:color w:val="auto"/>
        </w:rPr>
        <w:t>The increase in revenue was partially offset by the revenues generated by our divestiture of certain product brands in 2019, which generated revenues of approximately $7.0 million for the year ended December 31, 2019, which did not occur in 2020 as we did not divest itself of any product brands that year, resulting in no revenue from product brand divestitures for the year ended December 31, 2020. Additionally, we have observed an increase in demand for our products due to our implementation of marketing strategies focused on adapting to mandatory lockdowns imposed by several countries, which prevented sales representatives from operating within hospitals and clinics, by increasing the promotional presence of our products through attractive pricing and increased investment in digital advertising, all of which enabled us to directly promote our products to the general public. We also initiated a strategy to more efficiently manage our sales to distributors to reduce such distributors’ inventory on hand (the “Trade Day Reduction Strategy”). The Trade Day Reduction Strategy has mainly been implemented by us in Colombia and the CASAND region. The strategy has decreased our revenue growth for the year ended December 31, 2020 but increased our bargaining power vis-a-vis distributors and reduced distributors’ bargained discount, resulting in improved product margins. The Trade Day Reduction Strategy reduced the distributors’ days of inventory on hand (i.e., “trade days”) by 33 days in CASAND and 25 days in Colombia.</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sales and gross profit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cost of sales represents the direct costs of producing the goods sold by Procaps, such as cost of the materials and labor directly used to create the goods. Gross profit is revenue less cost of sales.</w:t>
      </w:r>
    </w:p>
    <w:p>
      <w:pPr>
        <w:spacing w:after="0" w:line="15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Cost of sales decreased by $2.1 million, or 1.5%, from $142.3 million for the year ended December 31, 2019 to $140.2 million for the year ended December 31, 2020. Gross profit increased by $8.8 million, or 4.8%, from $182.5 million for the year ended December 31, 2019 to $191.3 million for the year ended December 31, 2020. On a constant currency basis, cost of sales increased by $11.7 million, or 8.2%, from $142.3 million for the year ended December 31, 2019 to $154.0 million for the year ended December 31, 2020. Gross profit increased by $27.1 million, or 14.8%, from $182.5 million for the year ended December 31, 2019 to $209.6 million for the year ended December 31, 2020.</w:t>
      </w:r>
    </w:p>
    <w:p>
      <w:pPr>
        <w:spacing w:after="0" w:line="170" w:lineRule="exact"/>
        <w:rPr>
          <w:sz w:val="20"/>
          <w:szCs w:val="20"/>
          <w:color w:val="auto"/>
        </w:rPr>
      </w:pPr>
    </w:p>
    <w:p>
      <w:pPr>
        <w:jc w:val="both"/>
        <w:ind w:right="20" w:firstLine="574"/>
        <w:spacing w:after="0" w:line="273" w:lineRule="auto"/>
        <w:rPr>
          <w:sz w:val="20"/>
          <w:szCs w:val="20"/>
          <w:color w:val="auto"/>
        </w:rPr>
      </w:pPr>
      <w:r>
        <w:rPr>
          <w:rFonts w:ascii="Arial" w:cs="Arial" w:eastAsia="Arial" w:hAnsi="Arial"/>
          <w:sz w:val="15"/>
          <w:szCs w:val="15"/>
          <w:color w:val="auto"/>
        </w:rPr>
        <w:t>The decrease in cost of sales in the year ended December 31, 2020 compared to the year ended December 31, 2019 was primarily due to the increase in efficiency as a result of certain strategic planning activities for Procaps. Strategic planning activities focused marketing and sales efforts on customers and products that have higher margins due to lower production costs, which decreased cost of sales by approximately $1.5 million in the year ended December 31, 2020 compared to the year ended December 31, 2019, Furthermore, we increased our production efficiencies through process automation and improvements in batch production management. For example, we started a project in our Northern Central America operations to standardize packaging for similar products that in turn reduces unit manufacturing costs and expenses. Optimized batch production management allows us to manufacture our products in increased batch sizes which in turn reduces per-unit production costs and resulted in a decrease in costs of approximately $2 million in the year ended December 31, 2020 compared to the year ended December 31, 2019.</w:t>
      </w:r>
    </w:p>
    <w:p>
      <w:pPr>
        <w:spacing w:after="0" w:line="156"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We have also invested in certain technologies in our production plants that reduces cost of production, such as technology to shorten the drying time of gummies in our Funtrition product line, which is traditionally one of the more expensive processes for gummy production, resulting in an increase in production of approximately 255 tons in the year ended December 31, 2020 compared to the year ended December 31, 2019, and a decrease in costs and expenses associated with production of approximately $1.5 million in the year ended December 31, 2020 compared to the year ended December 31, 2019.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i w:val="1"/>
          <w:iCs w:val="1"/>
          <w:color w:val="auto"/>
        </w:rPr>
        <w:t>Sales and marketing expenses</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Sales and marketing expenses include primarily expenses incurred for promotional activities, such as marketing expenses, sales force and logistics expenses. Sales and marketing expense decreased by $15.2 million, or 17.9%, from $84.8 million for the year ended December 31, 2019 to $69.6 million for the year ended December 31, 2020. On a constant currency basis, sales and marketing expense decreased by $9.8 million, or 11.6%, from $84.8 million for the year ended December 31, 2019 to $75.0 million for the year ended December 31, 2020.</w:t>
      </w:r>
    </w:p>
    <w:p>
      <w:pPr>
        <w:spacing w:after="0" w:line="165"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The decrease in sales and marketing expenses in the year ended December 31, 2020 compared to the year ended December 31, 2019. was primarily due to the increase in usage of the digital marketing channels, which is a new trend in the market that is more cost effective than traditional advertising and promotional activities, and a decrease in usage of traditional advertising and promotional activities, resulting in a decrease in sales and marketing expense of approximately $3.5 million in the year ended December 31, 2020 compared to the year ended December 31, 2019. In the year ended December 31, 2020, we initiated a staggered process for migrating to a demand-generating digital scheme, achieving a reduction in the total investment amount needed to obtain certain market presence levels while continuing to expose the market to a wide range of product advertising. The use of digital marketing channels requires certain initial set-up costs and maintenance costs, however, our investment in digital marketing channels has allowed us to substantially reduce expenses, such as transportation and lodging, that are incurred for traditional non-digital advertising activities that would typically require in-person interaction. For example, virtual conferences organized by technical subjects and regions allow participants to participate without the need to travel, reducing costs and generating a better return on investment and marketing, and increasing attendance.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Administrative expenses</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Administrative expenses include costs incurred for administrative and certain corporate departments, such as payroll, power and utilities, and certain legal and professional expenses. Administrative expenses decreased by $1.6 million, or 2.7%, from $60.3 million for the year ended December 31, 2019 to $58.6 million for the year ended December 31, 2020.</w:t>
      </w:r>
    </w:p>
    <w:p>
      <w:pPr>
        <w:spacing w:after="0" w:line="16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The decrease in administrative expenses in the year ended December 31, 2020 compared to the year ended December 31, 2019 was primarily due to the reduction in expenses due to less business travel and associated lodging and the reduction in office and utility expenses due to some of our employees working from home as a result of the COVID-19 pandemic, which is anticipated to be an ongoing trend even after the pandemic. The decrease in administrative expenses was partially offset by certain administrative expenses that were incurred as a result of the COVID-19 pandemic, such as expenses incurred for safety precautions during the pandemic to maintain a safe work and production environment for our employees and expenses incurred for certain logistic arrangements to minimize our employees’ exposure to COVID-19 through arranging transportation from home to work, lodgings, face masks and PPE, all of which resulted in an increase in administrative expenses of approximately $5 million in the year ended December 31, 2020 compared to the year ended December 31, 2019.</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Finance expenses, net</w:t>
      </w:r>
    </w:p>
    <w:p>
      <w:pPr>
        <w:spacing w:after="0" w:line="198"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Finance expenses, net includes certain banking expenses and bank fees, financing interest expenses and interest recognized on the financial liabilities associated with certain put options held by IFC and Hoche and the underlying financial instruments. Finance expenses, net increased by $11.5 million, or 26.8%, from $43.0 million for the year ended December 31, 2019 to $54.5 million for the year ended December 31, 2020. The increase in finance expenses, net was primarily due to the increase in interest recognized for the put options financial liabilities, which resulted in increased finance expenses of approximately $11.2 million from $10.8 million for the year ended December 31, 2019 to $22.0 million for the year ended December 31, 2020. The put options held by IFC and Hoche were cancelled upon the Closing of the Business Combination as described above, and these associated finance expenses will no longer be incurred. Excluding the finance expenses associated with the put options, finance expenses increased by $0.3 million from $32.2 million for the year ended December 31, 2019 to $32.5 million for the year ended December 31, 2020.</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71" w:name="page72"/>
    <w:bookmarkEnd w:id="71"/>
    <w:p>
      <w:pPr>
        <w:ind w:left="4"/>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98" w:lineRule="exact"/>
        <w:rPr>
          <w:sz w:val="20"/>
          <w:szCs w:val="20"/>
          <w:color w:val="auto"/>
        </w:rPr>
      </w:pPr>
    </w:p>
    <w:p>
      <w:pPr>
        <w:jc w:val="both"/>
        <w:ind w:left="4" w:right="20" w:firstLine="574"/>
        <w:spacing w:after="0" w:line="309" w:lineRule="auto"/>
        <w:rPr>
          <w:sz w:val="20"/>
          <w:szCs w:val="20"/>
          <w:color w:val="auto"/>
        </w:rPr>
      </w:pPr>
      <w:r>
        <w:rPr>
          <w:rFonts w:ascii="Arial" w:cs="Arial" w:eastAsia="Arial" w:hAnsi="Arial"/>
          <w:sz w:val="15"/>
          <w:szCs w:val="15"/>
          <w:color w:val="auto"/>
        </w:rPr>
        <w:t>Income tax expense includes two components: (i) current tax and (ii) deferred tax. The current tax is calculated based on the tax rate of each jurisdiction. The deferred tax corresponds to the differences generated between the accounting figures and tax figures, which can result as a future income or expense.</w:t>
      </w:r>
    </w:p>
    <w:p>
      <w:pPr>
        <w:spacing w:after="0" w:line="129" w:lineRule="exact"/>
        <w:rPr>
          <w:sz w:val="20"/>
          <w:szCs w:val="20"/>
          <w:color w:val="auto"/>
        </w:rPr>
      </w:pPr>
    </w:p>
    <w:p>
      <w:pPr>
        <w:jc w:val="both"/>
        <w:ind w:left="4" w:right="20" w:firstLine="574"/>
        <w:spacing w:after="0" w:line="276" w:lineRule="auto"/>
        <w:rPr>
          <w:sz w:val="20"/>
          <w:szCs w:val="20"/>
          <w:color w:val="auto"/>
        </w:rPr>
      </w:pPr>
      <w:r>
        <w:rPr>
          <w:rFonts w:ascii="Arial" w:cs="Arial" w:eastAsia="Arial" w:hAnsi="Arial"/>
          <w:sz w:val="15"/>
          <w:szCs w:val="15"/>
          <w:color w:val="auto"/>
        </w:rPr>
        <w:t>Income tax expense increased by $4.3 million, or 60.6%, from $7.0 million for the year ended December 31, 2019 to $11.3 million for the year ended December 31, 2020. The increase in income tax expense was primarily due to the increase in tax expenses due to the increase in profit before taxes (excluding the interest recognized on the financial liabilities associated with the Hoche and IFC put options) from a loss of $5.3 million for the year ended December 31, 2019 to an income before taxes of $15.0 million for the year ended December 31, 2020. The increase was offset by the increase in tax benefits of $1.2 million due to certain R&amp;D activities, and the increase in deductions from Colombia’s Industry and Commerce Tax (Impuesto de Industria, Comercio, Avisos y Tableros) of $0.6 million.</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Results by Segments After Inter-Segment Elimination, Excluding Corporate for the years ended December 31, 2021 and December 31, 2020</w:t>
      </w: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87"/>
              </w:rPr>
              <w:t>Reportable segments</w:t>
            </w:r>
          </w:p>
        </w:tc>
        <w:tc>
          <w:tcPr>
            <w:tcW w:w="1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5"/>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jc w:val="right"/>
              <w:ind w:right="240"/>
              <w:spacing w:after="0" w:line="175" w:lineRule="exact"/>
              <w:rPr>
                <w:sz w:val="20"/>
                <w:szCs w:val="20"/>
                <w:color w:val="auto"/>
              </w:rPr>
            </w:pPr>
            <w:r>
              <w:rPr>
                <w:rFonts w:ascii="Arial" w:cs="Arial" w:eastAsia="Arial" w:hAnsi="Arial"/>
                <w:sz w:val="16"/>
                <w:szCs w:val="16"/>
                <w:b w:val="1"/>
                <w:bCs w:val="1"/>
                <w:color w:val="auto"/>
              </w:rPr>
              <w:t>Procaps</w:t>
            </w:r>
          </w:p>
        </w:tc>
        <w:tc>
          <w:tcPr>
            <w:tcW w:w="1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Results for the year ended December 31, 2021</w:t>
            </w:r>
          </w:p>
        </w:tc>
        <w:tc>
          <w:tcPr>
            <w:tcW w:w="1380" w:type="dxa"/>
            <w:vAlign w:val="bottom"/>
          </w:tcPr>
          <w:p>
            <w:pPr>
              <w:jc w:val="right"/>
              <w:ind w:right="460"/>
              <w:spacing w:after="0"/>
              <w:rPr>
                <w:sz w:val="20"/>
                <w:szCs w:val="20"/>
                <w:color w:val="auto"/>
              </w:rPr>
            </w:pPr>
            <w:r>
              <w:rPr>
                <w:rFonts w:ascii="Arial" w:cs="Arial" w:eastAsia="Arial" w:hAnsi="Arial"/>
                <w:sz w:val="16"/>
                <w:szCs w:val="16"/>
                <w:b w:val="1"/>
                <w:bCs w:val="1"/>
                <w:color w:val="auto"/>
              </w:rPr>
              <w:t>NextGel</w:t>
            </w:r>
          </w:p>
        </w:tc>
        <w:tc>
          <w:tcPr>
            <w:tcW w:w="1160" w:type="dxa"/>
            <w:vAlign w:val="bottom"/>
          </w:tcPr>
          <w:p>
            <w:pPr>
              <w:jc w:val="right"/>
              <w:ind w:right="180"/>
              <w:spacing w:after="0"/>
              <w:rPr>
                <w:sz w:val="20"/>
                <w:szCs w:val="20"/>
                <w:color w:val="auto"/>
              </w:rPr>
            </w:pPr>
            <w:r>
              <w:rPr>
                <w:rFonts w:ascii="Arial" w:cs="Arial" w:eastAsia="Arial" w:hAnsi="Arial"/>
                <w:sz w:val="16"/>
                <w:szCs w:val="16"/>
                <w:b w:val="1"/>
                <w:bCs w:val="1"/>
                <w:color w:val="auto"/>
              </w:rPr>
              <w:t>Colombia</w:t>
            </w:r>
          </w:p>
        </w:tc>
        <w:tc>
          <w:tcPr>
            <w:tcW w:w="1720" w:type="dxa"/>
            <w:vAlign w:val="bottom"/>
          </w:tcPr>
          <w:p>
            <w:pPr>
              <w:jc w:val="right"/>
              <w:ind w:right="700"/>
              <w:spacing w:after="0"/>
              <w:rPr>
                <w:sz w:val="20"/>
                <w:szCs w:val="20"/>
                <w:color w:val="auto"/>
              </w:rPr>
            </w:pPr>
            <w:r>
              <w:rPr>
                <w:rFonts w:ascii="Arial" w:cs="Arial" w:eastAsia="Arial" w:hAnsi="Arial"/>
                <w:sz w:val="16"/>
                <w:szCs w:val="16"/>
                <w:b w:val="1"/>
                <w:bCs w:val="1"/>
                <w:color w:val="auto"/>
              </w:rPr>
              <w:t>CAN</w:t>
            </w: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CASAND</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Diabetrics</w:t>
            </w:r>
          </w:p>
        </w:tc>
      </w:tr>
      <w:tr>
        <w:trPr>
          <w:trHeight w:val="210"/>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i w:val="1"/>
                <w:iCs w:val="1"/>
                <w:color w:val="auto"/>
              </w:rPr>
              <w:t>(in thousands of U.S. dollars)</w:t>
            </w:r>
          </w:p>
        </w:tc>
        <w:tc>
          <w:tcPr>
            <w:tcW w:w="1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7"/>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120,827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155,327</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50,937</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53,956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28,695</w:t>
            </w: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64,879</w:t>
            </w:r>
          </w:p>
        </w:tc>
        <w:tc>
          <w:tcPr>
            <w:tcW w:w="1160" w:type="dxa"/>
            <w:vAlign w:val="bottom"/>
          </w:tcPr>
          <w:p>
            <w:pPr>
              <w:jc w:val="right"/>
              <w:spacing w:after="0"/>
              <w:rPr>
                <w:sz w:val="20"/>
                <w:szCs w:val="20"/>
                <w:color w:val="auto"/>
              </w:rPr>
            </w:pPr>
            <w:r>
              <w:rPr>
                <w:rFonts w:ascii="Arial" w:cs="Arial" w:eastAsia="Arial" w:hAnsi="Arial"/>
                <w:sz w:val="16"/>
                <w:szCs w:val="16"/>
                <w:color w:val="auto"/>
              </w:rPr>
              <w:t>81,165</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33,869</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43,236</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12,564</w:t>
            </w: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Contribution Margin</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54,106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51,921</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18,536</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21,703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6,848</w:t>
            </w: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Constant currency basis</w:t>
            </w:r>
          </w:p>
        </w:tc>
        <w:tc>
          <w:tcPr>
            <w:tcW w:w="1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123,681</w:t>
            </w:r>
          </w:p>
        </w:tc>
        <w:tc>
          <w:tcPr>
            <w:tcW w:w="1160" w:type="dxa"/>
            <w:vAlign w:val="bottom"/>
          </w:tcPr>
          <w:p>
            <w:pPr>
              <w:jc w:val="right"/>
              <w:spacing w:after="0"/>
              <w:rPr>
                <w:sz w:val="20"/>
                <w:szCs w:val="20"/>
                <w:color w:val="auto"/>
              </w:rPr>
            </w:pPr>
            <w:r>
              <w:rPr>
                <w:rFonts w:ascii="Arial" w:cs="Arial" w:eastAsia="Arial" w:hAnsi="Arial"/>
                <w:sz w:val="16"/>
                <w:szCs w:val="16"/>
                <w:color w:val="auto"/>
              </w:rPr>
              <w:t>157,890</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51,658</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54,027</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29,081</w:t>
            </w: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65,951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81,956</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34,205</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43,264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12,720</w:t>
            </w:r>
          </w:p>
        </w:tc>
      </w:tr>
      <w:tr>
        <w:trPr>
          <w:trHeight w:val="204"/>
        </w:trPr>
        <w:tc>
          <w:tcPr>
            <w:tcW w:w="4620" w:type="dxa"/>
            <w:vAlign w:val="bottom"/>
            <w:gridSpan w:val="2"/>
          </w:tcPr>
          <w:p>
            <w:pPr>
              <w:spacing w:after="0"/>
              <w:rPr>
                <w:sz w:val="20"/>
                <w:szCs w:val="20"/>
                <w:color w:val="auto"/>
              </w:rPr>
            </w:pPr>
            <w:r>
              <w:rPr>
                <w:rFonts w:ascii="Arial" w:cs="Arial" w:eastAsia="Arial" w:hAnsi="Arial"/>
                <w:sz w:val="16"/>
                <w:szCs w:val="16"/>
                <w:color w:val="auto"/>
              </w:rPr>
              <w:t>Contribution Margin</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54,528</w:t>
            </w:r>
          </w:p>
        </w:tc>
        <w:tc>
          <w:tcPr>
            <w:tcW w:w="1160" w:type="dxa"/>
            <w:vAlign w:val="bottom"/>
          </w:tcPr>
          <w:p>
            <w:pPr>
              <w:jc w:val="right"/>
              <w:spacing w:after="0"/>
              <w:rPr>
                <w:sz w:val="20"/>
                <w:szCs w:val="20"/>
                <w:color w:val="auto"/>
              </w:rPr>
            </w:pPr>
            <w:r>
              <w:rPr>
                <w:rFonts w:ascii="Arial" w:cs="Arial" w:eastAsia="Arial" w:hAnsi="Arial"/>
                <w:sz w:val="16"/>
                <w:szCs w:val="16"/>
                <w:color w:val="auto"/>
              </w:rPr>
              <w:t>52,025</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18,742</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21,713</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6,923</w:t>
            </w:r>
          </w:p>
        </w:tc>
      </w:tr>
    </w:tbl>
    <w:p>
      <w:pPr>
        <w:spacing w:after="0" w:line="174"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87"/>
              </w:rPr>
              <w:t>Reportable segments</w:t>
            </w:r>
          </w:p>
        </w:tc>
        <w:tc>
          <w:tcPr>
            <w:tcW w:w="1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Results for the year ended December 31, 2020</w:t>
            </w:r>
            <w:r>
              <w:rPr>
                <w:rFonts w:ascii="Arial" w:cs="Arial" w:eastAsia="Arial" w:hAnsi="Arial"/>
                <w:sz w:val="26"/>
                <w:szCs w:val="26"/>
                <w:b w:val="1"/>
                <w:bCs w:val="1"/>
                <w:color w:val="auto"/>
                <w:vertAlign w:val="superscript"/>
              </w:rPr>
              <w:t>(1)</w:t>
            </w:r>
          </w:p>
        </w:tc>
        <w:tc>
          <w:tcPr>
            <w:tcW w:w="1380" w:type="dxa"/>
            <w:vAlign w:val="bottom"/>
          </w:tcPr>
          <w:p>
            <w:pPr>
              <w:spacing w:after="0"/>
              <w:rPr>
                <w:sz w:val="15"/>
                <w:szCs w:val="15"/>
                <w:color w:val="auto"/>
              </w:rPr>
            </w:pPr>
          </w:p>
        </w:tc>
        <w:tc>
          <w:tcPr>
            <w:tcW w:w="1160" w:type="dxa"/>
            <w:vAlign w:val="bottom"/>
          </w:tcPr>
          <w:p>
            <w:pPr>
              <w:jc w:val="right"/>
              <w:ind w:right="240"/>
              <w:spacing w:after="0" w:line="175" w:lineRule="exact"/>
              <w:rPr>
                <w:sz w:val="20"/>
                <w:szCs w:val="20"/>
                <w:color w:val="auto"/>
              </w:rPr>
            </w:pPr>
            <w:r>
              <w:rPr>
                <w:rFonts w:ascii="Arial" w:cs="Arial" w:eastAsia="Arial" w:hAnsi="Arial"/>
                <w:sz w:val="16"/>
                <w:szCs w:val="16"/>
                <w:b w:val="1"/>
                <w:bCs w:val="1"/>
                <w:color w:val="auto"/>
              </w:rPr>
              <w:t>Procaps</w:t>
            </w:r>
          </w:p>
        </w:tc>
        <w:tc>
          <w:tcPr>
            <w:tcW w:w="1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620" w:type="dxa"/>
            <w:vAlign w:val="bottom"/>
            <w:gridSpan w:val="2"/>
            <w:vMerge w:val="continue"/>
          </w:tcPr>
          <w:p>
            <w:pPr>
              <w:spacing w:after="0"/>
              <w:rPr>
                <w:sz w:val="18"/>
                <w:szCs w:val="18"/>
                <w:color w:val="auto"/>
              </w:rPr>
            </w:pPr>
          </w:p>
        </w:tc>
        <w:tc>
          <w:tcPr>
            <w:tcW w:w="1380" w:type="dxa"/>
            <w:vAlign w:val="bottom"/>
          </w:tcPr>
          <w:p>
            <w:pPr>
              <w:jc w:val="right"/>
              <w:ind w:right="460"/>
              <w:spacing w:after="0"/>
              <w:rPr>
                <w:sz w:val="20"/>
                <w:szCs w:val="20"/>
                <w:color w:val="auto"/>
              </w:rPr>
            </w:pPr>
            <w:r>
              <w:rPr>
                <w:rFonts w:ascii="Arial" w:cs="Arial" w:eastAsia="Arial" w:hAnsi="Arial"/>
                <w:sz w:val="16"/>
                <w:szCs w:val="16"/>
                <w:b w:val="1"/>
                <w:bCs w:val="1"/>
                <w:color w:val="auto"/>
              </w:rPr>
              <w:t>NextGel</w:t>
            </w:r>
          </w:p>
        </w:tc>
        <w:tc>
          <w:tcPr>
            <w:tcW w:w="1160" w:type="dxa"/>
            <w:vAlign w:val="bottom"/>
          </w:tcPr>
          <w:p>
            <w:pPr>
              <w:jc w:val="right"/>
              <w:ind w:right="180"/>
              <w:spacing w:after="0"/>
              <w:rPr>
                <w:sz w:val="20"/>
                <w:szCs w:val="20"/>
                <w:color w:val="auto"/>
              </w:rPr>
            </w:pPr>
            <w:r>
              <w:rPr>
                <w:rFonts w:ascii="Arial" w:cs="Arial" w:eastAsia="Arial" w:hAnsi="Arial"/>
                <w:sz w:val="16"/>
                <w:szCs w:val="16"/>
                <w:b w:val="1"/>
                <w:bCs w:val="1"/>
                <w:color w:val="auto"/>
              </w:rPr>
              <w:t>Colombia</w:t>
            </w:r>
          </w:p>
        </w:tc>
        <w:tc>
          <w:tcPr>
            <w:tcW w:w="1720" w:type="dxa"/>
            <w:vAlign w:val="bottom"/>
          </w:tcPr>
          <w:p>
            <w:pPr>
              <w:jc w:val="right"/>
              <w:ind w:right="700"/>
              <w:spacing w:after="0"/>
              <w:rPr>
                <w:sz w:val="20"/>
                <w:szCs w:val="20"/>
                <w:color w:val="auto"/>
              </w:rPr>
            </w:pPr>
            <w:r>
              <w:rPr>
                <w:rFonts w:ascii="Arial" w:cs="Arial" w:eastAsia="Arial" w:hAnsi="Arial"/>
                <w:sz w:val="16"/>
                <w:szCs w:val="16"/>
                <w:b w:val="1"/>
                <w:bCs w:val="1"/>
                <w:color w:val="auto"/>
              </w:rPr>
              <w:t>CAN</w:t>
            </w: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CASAND</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Diabetrics</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i w:val="1"/>
                <w:iCs w:val="1"/>
                <w:color w:val="auto"/>
              </w:rPr>
              <w:t>(in thousands of U.S. dollars)</w:t>
            </w:r>
          </w:p>
        </w:tc>
        <w:tc>
          <w:tcPr>
            <w:tcW w:w="1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105,979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114,895</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45,613</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38,556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22,789</w:t>
            </w: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57,577</w:t>
            </w:r>
          </w:p>
        </w:tc>
        <w:tc>
          <w:tcPr>
            <w:tcW w:w="1160" w:type="dxa"/>
            <w:vAlign w:val="bottom"/>
          </w:tcPr>
          <w:p>
            <w:pPr>
              <w:jc w:val="right"/>
              <w:spacing w:after="0"/>
              <w:rPr>
                <w:sz w:val="20"/>
                <w:szCs w:val="20"/>
                <w:color w:val="auto"/>
              </w:rPr>
            </w:pPr>
            <w:r>
              <w:rPr>
                <w:rFonts w:ascii="Arial" w:cs="Arial" w:eastAsia="Arial" w:hAnsi="Arial"/>
                <w:sz w:val="16"/>
                <w:szCs w:val="16"/>
                <w:color w:val="auto"/>
              </w:rPr>
              <w:t>63,303</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29,606</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27,331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9,863</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Contribution Margin</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46,889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42,231</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15,521</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9,814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5,487</w:t>
            </w:r>
          </w:p>
        </w:tc>
        <w:tc>
          <w:tcPr>
            <w:tcW w:w="0" w:type="dxa"/>
            <w:vAlign w:val="bottom"/>
          </w:tcPr>
          <w:p>
            <w:pPr>
              <w:spacing w:after="0"/>
              <w:rPr>
                <w:sz w:val="1"/>
                <w:szCs w:val="1"/>
                <w:color w:val="auto"/>
              </w:rPr>
            </w:pPr>
          </w:p>
        </w:tc>
      </w:tr>
    </w:tbl>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4500" w:type="dxa"/>
            <w:vAlign w:val="bottom"/>
            <w:vMerge w:val="restart"/>
          </w:tcPr>
          <w:p>
            <w:pPr>
              <w:spacing w:after="0"/>
              <w:rPr>
                <w:sz w:val="20"/>
                <w:szCs w:val="20"/>
                <w:color w:val="auto"/>
              </w:rPr>
            </w:pPr>
            <w:r>
              <w:rPr>
                <w:rFonts w:ascii="Arial" w:cs="Arial" w:eastAsia="Arial" w:hAnsi="Arial"/>
                <w:sz w:val="16"/>
                <w:szCs w:val="16"/>
                <w:b w:val="1"/>
                <w:bCs w:val="1"/>
                <w:color w:val="auto"/>
              </w:rPr>
              <w:t>Comparison of results for the</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87"/>
              </w:rPr>
              <w:t>Reportable segments</w:t>
            </w:r>
          </w:p>
        </w:tc>
        <w:tc>
          <w:tcPr>
            <w:tcW w:w="1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right"/>
              <w:ind w:right="240"/>
              <w:spacing w:after="0" w:line="168" w:lineRule="exact"/>
              <w:rPr>
                <w:sz w:val="20"/>
                <w:szCs w:val="20"/>
                <w:color w:val="auto"/>
              </w:rPr>
            </w:pPr>
            <w:r>
              <w:rPr>
                <w:rFonts w:ascii="Arial" w:cs="Arial" w:eastAsia="Arial" w:hAnsi="Arial"/>
                <w:sz w:val="16"/>
                <w:szCs w:val="16"/>
                <w:b w:val="1"/>
                <w:bCs w:val="1"/>
                <w:color w:val="auto"/>
              </w:rPr>
              <w:t>Procaps</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spacing w:after="0" w:line="238" w:lineRule="exact"/>
              <w:rPr>
                <w:sz w:val="20"/>
                <w:szCs w:val="20"/>
                <w:color w:val="auto"/>
              </w:rPr>
            </w:pPr>
            <w:r>
              <w:rPr>
                <w:rFonts w:ascii="Arial" w:cs="Arial" w:eastAsia="Arial" w:hAnsi="Arial"/>
                <w:sz w:val="16"/>
                <w:szCs w:val="16"/>
                <w:b w:val="1"/>
                <w:bCs w:val="1"/>
                <w:color w:val="auto"/>
              </w:rPr>
              <w:t>years ended December 31, 2021 and 2020</w:t>
            </w:r>
            <w:r>
              <w:rPr>
                <w:rFonts w:ascii="Arial" w:cs="Arial" w:eastAsia="Arial" w:hAnsi="Arial"/>
                <w:sz w:val="26"/>
                <w:szCs w:val="26"/>
                <w:b w:val="1"/>
                <w:bCs w:val="1"/>
                <w:color w:val="auto"/>
                <w:vertAlign w:val="superscript"/>
              </w:rPr>
              <w:t>(1)</w:t>
            </w:r>
          </w:p>
        </w:tc>
        <w:tc>
          <w:tcPr>
            <w:tcW w:w="1380" w:type="dxa"/>
            <w:vAlign w:val="bottom"/>
          </w:tcPr>
          <w:p>
            <w:pPr>
              <w:jc w:val="right"/>
              <w:ind w:right="460"/>
              <w:spacing w:after="0"/>
              <w:rPr>
                <w:sz w:val="20"/>
                <w:szCs w:val="20"/>
                <w:color w:val="auto"/>
              </w:rPr>
            </w:pPr>
            <w:r>
              <w:rPr>
                <w:rFonts w:ascii="Arial" w:cs="Arial" w:eastAsia="Arial" w:hAnsi="Arial"/>
                <w:sz w:val="16"/>
                <w:szCs w:val="16"/>
                <w:b w:val="1"/>
                <w:bCs w:val="1"/>
                <w:color w:val="auto"/>
              </w:rPr>
              <w:t>NextGel</w:t>
            </w:r>
          </w:p>
        </w:tc>
        <w:tc>
          <w:tcPr>
            <w:tcW w:w="1160" w:type="dxa"/>
            <w:vAlign w:val="bottom"/>
          </w:tcPr>
          <w:p>
            <w:pPr>
              <w:jc w:val="right"/>
              <w:ind w:right="180"/>
              <w:spacing w:after="0"/>
              <w:rPr>
                <w:sz w:val="20"/>
                <w:szCs w:val="20"/>
                <w:color w:val="auto"/>
              </w:rPr>
            </w:pPr>
            <w:r>
              <w:rPr>
                <w:rFonts w:ascii="Arial" w:cs="Arial" w:eastAsia="Arial" w:hAnsi="Arial"/>
                <w:sz w:val="16"/>
                <w:szCs w:val="16"/>
                <w:b w:val="1"/>
                <w:bCs w:val="1"/>
                <w:color w:val="auto"/>
              </w:rPr>
              <w:t>Colombia</w:t>
            </w:r>
          </w:p>
        </w:tc>
        <w:tc>
          <w:tcPr>
            <w:tcW w:w="1720" w:type="dxa"/>
            <w:vAlign w:val="bottom"/>
          </w:tcPr>
          <w:p>
            <w:pPr>
              <w:jc w:val="right"/>
              <w:ind w:right="700"/>
              <w:spacing w:after="0"/>
              <w:rPr>
                <w:sz w:val="20"/>
                <w:szCs w:val="20"/>
                <w:color w:val="auto"/>
              </w:rPr>
            </w:pPr>
            <w:r>
              <w:rPr>
                <w:rFonts w:ascii="Arial" w:cs="Arial" w:eastAsia="Arial" w:hAnsi="Arial"/>
                <w:sz w:val="16"/>
                <w:szCs w:val="16"/>
                <w:b w:val="1"/>
                <w:bCs w:val="1"/>
                <w:color w:val="auto"/>
              </w:rPr>
              <w:t>CAN</w:t>
            </w:r>
          </w:p>
        </w:tc>
        <w:tc>
          <w:tcPr>
            <w:tcW w:w="1160" w:type="dxa"/>
            <w:vAlign w:val="bottom"/>
          </w:tcPr>
          <w:p>
            <w:pPr>
              <w:jc w:val="right"/>
              <w:ind w:right="360"/>
              <w:spacing w:after="0"/>
              <w:rPr>
                <w:sz w:val="20"/>
                <w:szCs w:val="20"/>
                <w:color w:val="auto"/>
              </w:rPr>
            </w:pPr>
            <w:r>
              <w:rPr>
                <w:rFonts w:ascii="Arial" w:cs="Arial" w:eastAsia="Arial" w:hAnsi="Arial"/>
                <w:sz w:val="16"/>
                <w:szCs w:val="16"/>
                <w:b w:val="1"/>
                <w:bCs w:val="1"/>
                <w:color w:val="auto"/>
              </w:rPr>
              <w:t>CASAND</w:t>
            </w:r>
          </w:p>
        </w:tc>
        <w:tc>
          <w:tcPr>
            <w:tcW w:w="12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Diabetics</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i w:val="1"/>
                <w:iCs w:val="1"/>
                <w:color w:val="auto"/>
              </w:rPr>
              <w:t>(in thousands of U.S. dollars)</w:t>
            </w:r>
          </w:p>
        </w:tc>
        <w:tc>
          <w:tcPr>
            <w:tcW w:w="1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14,848</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40,432</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5,324</w:t>
            </w: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15,400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5,906</w:t>
            </w:r>
          </w:p>
        </w:tc>
        <w:tc>
          <w:tcPr>
            <w:tcW w:w="0" w:type="dxa"/>
            <w:vAlign w:val="bottom"/>
          </w:tcPr>
          <w:p>
            <w:pPr>
              <w:spacing w:after="0"/>
              <w:rPr>
                <w:sz w:val="1"/>
                <w:szCs w:val="1"/>
                <w:color w:val="auto"/>
              </w:rPr>
            </w:pPr>
          </w:p>
        </w:tc>
      </w:tr>
      <w:tr>
        <w:trPr>
          <w:trHeight w:val="191"/>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7,302</w:t>
            </w:r>
          </w:p>
        </w:tc>
        <w:tc>
          <w:tcPr>
            <w:tcW w:w="1160" w:type="dxa"/>
            <w:vAlign w:val="bottom"/>
          </w:tcPr>
          <w:p>
            <w:pPr>
              <w:jc w:val="right"/>
              <w:spacing w:after="0"/>
              <w:rPr>
                <w:sz w:val="20"/>
                <w:szCs w:val="20"/>
                <w:color w:val="auto"/>
              </w:rPr>
            </w:pPr>
            <w:r>
              <w:rPr>
                <w:rFonts w:ascii="Arial" w:cs="Arial" w:eastAsia="Arial" w:hAnsi="Arial"/>
                <w:sz w:val="16"/>
                <w:szCs w:val="16"/>
                <w:color w:val="auto"/>
              </w:rPr>
              <w:t>17,862</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4,263</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15,905</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2,701</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Contribution Margin</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7,217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9,690</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3,015</w:t>
            </w: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11,889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Constant currency basis</w:t>
            </w:r>
          </w:p>
        </w:tc>
        <w:tc>
          <w:tcPr>
            <w:tcW w:w="1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Revenue</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17,702</w:t>
            </w:r>
          </w:p>
        </w:tc>
        <w:tc>
          <w:tcPr>
            <w:tcW w:w="1160" w:type="dxa"/>
            <w:vAlign w:val="bottom"/>
          </w:tcPr>
          <w:p>
            <w:pPr>
              <w:jc w:val="right"/>
              <w:spacing w:after="0"/>
              <w:rPr>
                <w:sz w:val="20"/>
                <w:szCs w:val="20"/>
                <w:color w:val="auto"/>
              </w:rPr>
            </w:pPr>
            <w:r>
              <w:rPr>
                <w:rFonts w:ascii="Arial" w:cs="Arial" w:eastAsia="Arial" w:hAnsi="Arial"/>
                <w:sz w:val="16"/>
                <w:szCs w:val="16"/>
                <w:color w:val="auto"/>
              </w:rPr>
              <w:t>42,995</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6,045</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15,471</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6,292</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8,374</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18,653</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4,599</w:t>
            </w: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15,934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2,857</w:t>
            </w:r>
          </w:p>
        </w:tc>
        <w:tc>
          <w:tcPr>
            <w:tcW w:w="0" w:type="dxa"/>
            <w:vAlign w:val="bottom"/>
          </w:tcPr>
          <w:p>
            <w:pPr>
              <w:spacing w:after="0"/>
              <w:rPr>
                <w:sz w:val="1"/>
                <w:szCs w:val="1"/>
                <w:color w:val="auto"/>
              </w:rPr>
            </w:pPr>
          </w:p>
        </w:tc>
      </w:tr>
      <w:tr>
        <w:trPr>
          <w:trHeight w:val="204"/>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Contribution Margin</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7,639</w:t>
            </w:r>
          </w:p>
        </w:tc>
        <w:tc>
          <w:tcPr>
            <w:tcW w:w="1160" w:type="dxa"/>
            <w:vAlign w:val="bottom"/>
          </w:tcPr>
          <w:p>
            <w:pPr>
              <w:jc w:val="right"/>
              <w:spacing w:after="0"/>
              <w:rPr>
                <w:sz w:val="20"/>
                <w:szCs w:val="20"/>
                <w:color w:val="auto"/>
              </w:rPr>
            </w:pPr>
            <w:r>
              <w:rPr>
                <w:rFonts w:ascii="Arial" w:cs="Arial" w:eastAsia="Arial" w:hAnsi="Arial"/>
                <w:sz w:val="16"/>
                <w:szCs w:val="16"/>
                <w:color w:val="auto"/>
              </w:rPr>
              <w:t>9,794</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3,221</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11,900</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284" w:hanging="284"/>
        <w:spacing w:after="0" w:line="276" w:lineRule="auto"/>
        <w:tabs>
          <w:tab w:leader="none" w:pos="284" w:val="left"/>
        </w:tabs>
        <w:numPr>
          <w:ilvl w:val="0"/>
          <w:numId w:val="28"/>
        </w:numPr>
        <w:rPr>
          <w:rFonts w:ascii="Arial" w:cs="Arial" w:eastAsia="Arial" w:hAnsi="Arial"/>
          <w:sz w:val="15"/>
          <w:szCs w:val="15"/>
          <w:color w:val="auto"/>
        </w:rPr>
      </w:pPr>
      <w:r>
        <w:rPr>
          <w:rFonts w:ascii="Arial" w:cs="Arial" w:eastAsia="Arial" w:hAnsi="Arial"/>
          <w:sz w:val="15"/>
          <w:szCs w:val="15"/>
          <w:color w:val="auto"/>
        </w:rPr>
        <w:t>During the year ended December 31, 2021, we changed our methodology for calculating our internal measurement of segment profit and loss. We revised how cost of goods sold is measured in our businesses segments by revising the allocation of standard cost inventory variances. As a result of such changes, the segment results for the year ended December 31, 2020 have been recast to conform with the new methodology adopted for the year ended December 31, 2021. This change did not have any impact on our consolidated results of operations, EBITDA or Adjusted EBITDA for the year ended December 31, 2020. For further information, see Note 8 “Segment reporting” to the Annual Audited Consolidated Financial Statements included elsewhere in this annual report.</w:t>
      </w:r>
    </w:p>
    <w:p>
      <w:pPr>
        <w:spacing w:after="0" w:line="34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i w:val="1"/>
          <w:iCs w:val="1"/>
          <w:color w:val="auto"/>
        </w:rPr>
        <w:t>NextGel</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Revenue of the NextGel segment increased by $14.8 million, or 14.0%, from $106.0 million for the year ended December 31, 2020 to $120.8 million for the year ended December 31, 2021, primarily as a result of (i) an increase in sales in our Funtrition (gummies) product line of approximately $8.8 million due to increased demand for our immunity gummies and probiotics product lines, the launch of new products such as Kids Multi Pro and an increase in the numbers of product portfolio offered to important clients such as Olly, Amway, and Trace among others, and (ii) an increase in sales of approximately $6.0 million of our iCDMO products such as Advil and Dronabinol, as well as an increase in sales in Brazil primarily due to the launch of new products in the country.</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Gross profit of the NextGel segment increased by $7.3 million, or 12.7%, from $57.6 million for the year ended December 31, 2020 to $64.9 million for the year ended December 31, 2021, primarily driven by the increase in sales volume and partially offset by changes in our portfolio product mix.</w:t>
      </w:r>
    </w:p>
    <w:p>
      <w:pPr>
        <w:spacing w:after="0" w:line="15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Contribution Margin of the NextGel segment increased by $7.2 million, or 15.4%, from $46.9 million for the year ended December 31, 2020, to $54.1 million for the year ended December 31, 2021, primarily as a result of the increase in sales volume described above and better management of our sales and marketing expenses.</w:t>
      </w:r>
    </w:p>
    <w:p>
      <w:pPr>
        <w:spacing w:after="0" w:line="129"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On a constant currency basis, revenue attributable to the NextGel segment increased by $17.7 million, or 16.7%, from $106.0 million for the year ended December 31, 2020 to $123.7 million for the year ended December 31, 2021. Gross profit attributable to the NextGel segment increased by $8.4 million, or 14.5%, from $57.6 million for the year ended December 31, 2020 to $66.0 million for the year ended December 31, 2021, and Contribution Margin attributable to the NextGel segment increased by $7.6 million, or 16.3%, from $46.9 million gain for the year ended December 31, 2020 to $54.5 million loss for the year ended December 31, 2021.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Procaps Colombia</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Revenue of the Procaps Colombia segment increased by $40.4 million, or 35.2%, from $114.9 million for the year ended December 31, 2020 to $155.3 million for the year ended December 31, 2021, primarily as a result of (i) increased demand for existing Rx and OTC products resulting in an increase in sales of approximately $21.7 million, including $8.2 million from Clenox, $2.9 million from Tracurion, and $1.6 million from B-Vit, among other existing brands, and (ii) an increase of approximately $18.7 million in sales from new products, which includes $3.9 million in sales from new products launched during 2021, such as Minoxidil and Maball.</w:t>
      </w:r>
    </w:p>
    <w:p>
      <w:pPr>
        <w:spacing w:after="0" w:line="151"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Gross profit of the Procaps Colombia segment increased by $17.9 million, or 28.3%, from $63.3 million for the year ended December 31, 2020 to $81.2 million for the year ended December 31, 2021, primarily as a result of the increase in sales volume as described above which was partially offset by a change in the product portfolio mix sold.</w:t>
      </w:r>
    </w:p>
    <w:p>
      <w:pPr>
        <w:spacing w:after="0" w:line="10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Contribution Margin of the Procaps Colombia segment increased by $9.7 million, or 23.0%, from $42.2 million for the year ended December 31, 2020 to $51.9 million for the year ended December 31, 2021, as a result of the increase in sales as described above, which was partially offset by an increase in sales and marketing expenses and a change in the product portfolio mix sold.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On a constant currency basis, revenue attributable to Procaps Colombia increased by $43.0 million, or 37.4%, from $114.9 million for the year ended December 31, 2020 to $157.9 million for the year ended December 31, 2021, gross profit attributable to Procaps Colombia increased by $18.7 million, or 29.5%, from $63.3 million for the year ended December 31, 2020 to $82.0 million for the year ended December 31, 2021, and Contribution Margin attributable to Procaps Colombia increased by $9.8 million, or 23.3%, from $42.2 million for the year ended December 31, 2020 to $52.0 million for the year ended December 31, 2021.</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i w:val="1"/>
          <w:iCs w:val="1"/>
          <w:color w:val="auto"/>
        </w:rPr>
        <w:t>CAN</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Revenue of the CAN segment increased by $5.3 million, or 11.6%, from $45.6 million for the year ended December 31, 2020 to $50.9 million for the year ended December 31, 2021, due to (i) an increase of approximately $4.2 million in sales of existing brands and new products launched in 2019 and 2020, which includes an increase of approximately $1.8 million in sales from Testiton and $1.5 million in sales from Artribion, among other products, and (ii) an increase of approximately $1.1 million in sales of new products launched during 2021, such as Glucoquick, Dolantag and Alercet.</w:t>
      </w:r>
    </w:p>
    <w:p>
      <w:pPr>
        <w:spacing w:after="0" w:line="165"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Gross profit of the CAN segment increased by $4.3 million, or 14.5%, from $29.6 million for the year ended December 31, 2020 to $33.9 million for the year ended December 31, 2021, primarily as a result of (i) an increase in the revenue described above, (ii) greater inventory turnover of Farma Procaps products, which yielded a higher margin sales mix as compared to the year ended December 31, 2020 and (iii) increased production efficiencies through process automation and improvement in batch production management in our El Salvador facilities by standardizing packaging for similar products, reducing unit manufacturing costs and expenses, and eliminating import tariff duties for most products imported from Colombia.</w:t>
      </w:r>
    </w:p>
    <w:p>
      <w:pPr>
        <w:spacing w:after="0" w:line="170"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Contribution Margin of the CAN segment increased by $3.0 million, or 19.4%, from $15.5 million for the year ended December 31, 2020 to $18.5 million for the year ended December 31, 2021, as a result of the increase in gross profit described above and a better management of sales and marketing expenses.</w:t>
      </w:r>
    </w:p>
    <w:p>
      <w:pPr>
        <w:spacing w:after="0" w:line="129"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On a constant currency basis, revenue attributable to the CAN segment increased by $6.1 million, or 13.3%, from $45.6 million for the year ended December 31, 2020 to $51.7 million for the year ended December 31, 2021, gross profit attributable to the CAN segment increased by $4.6 million, or 15.6%, from $29.6 million for the year ended December 31, 2020 to $34.2 million for the year ended December 31, 2021, and Contribution Margin attributable to the CAN segment increased by $3.2 million, or 20.9%, from $15.5 million for the year ended December 31, 2020 to $18.7 million for the year ended December 31, 2021.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CASAND</w:t>
      </w:r>
    </w:p>
    <w:p>
      <w:pPr>
        <w:spacing w:after="0" w:line="198"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Revenue of the CASAND segment increased by $15.4 million, or 39.9%, from $38.6 million for the year ended December 31, 2020 to $54.0 million for the year ended December 31, 2021, primarily as a result of (i) an increase of approximately $10.5 million in sales of existing brands and new products launched in 2019 and 2020, (ii) an increase of approximately $2.8 million in sales of new products launched during 2021, such as Tapectam, Ezolium, Cuticlin and Vitybelle, (iii) an increase in sales of approximately $1.6 million as a result of successful negotiations with distributors in the Dominican Republic which expanded our business with new product launches and higher profitability in the country, and (iv) an increase in revenue of approximately $0.5 million as a result of an increase in prices.</w:t>
      </w:r>
    </w:p>
    <w:p>
      <w:pPr>
        <w:spacing w:after="0" w:line="15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Gross profit of the CASAND segment increased by $15.9 million, or 58.2%, from $27.3 million for the year ended December 31, 2020 to $43.2 million for the year ended December 31, 2021, primarily as a result of the increase in sales explained above, and successful price negotiations with distributors.</w:t>
      </w:r>
    </w:p>
    <w:p>
      <w:pPr>
        <w:spacing w:after="0" w:line="15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Contribution Margin of the CASAND segment increased by $11.9 million, or 121.4%, from $9.8 million for the year ended December 31, 2020 to $21.7 million for the year ended December 31, 2021, primarily as a result of (i) the increase in revenue and gross profit described above, and (ii) our investment in product launches and digital marketing during the year ended December 31, 2020, which started ramping up during the year ended December 31, 2021, which resulted in decreasing sales and marketing expenses while strengthening our sales for the year ended December 31, 2021.</w:t>
      </w:r>
    </w:p>
    <w:p>
      <w:pPr>
        <w:spacing w:after="0" w:line="165"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On a constant currency basis, revenue attributable to the CASAND segment increased by $15.4 million, or 40.0%, from $38.6 million for the year ended December 31, 2020 to $54.0 million for the year ended December 31, 2021, gross profit attributable to the CASAND segment increased by $16.0 million, or 58.5%, from $27.3 million for the year ended December 31, 2020 to $43.3 million for the year ended December 31, 2021, and Contribution Margin attributable to the CASAND segment increased by $11.9 million, or 121.6%, from $9.8 million for the year ended December 31, 2020 to $21.7 million for the year ended December 31, 2021.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Diabetrics</w:t>
      </w:r>
    </w:p>
    <w:p>
      <w:pPr>
        <w:spacing w:after="0" w:line="198"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color w:val="auto"/>
        </w:rPr>
        <w:t xml:space="preserve">Revenue of the Diabetrics segment increased by $5.9 million, or 25.9%, from $22.8 million for the year ended December 31, 2020 to $28.7 million for the year ended December 31, 2021, primarily as a result of the increase in the demand for our product portfolio as a result of the expansion of our products offering in this segment to a more complete diabetes solution focus. In particular, demand for blood glucose meters, Rx, oral antidiabetic medicine and insulin in the form of Glargine,a new product launched during the year ended December 31, 2021, continue to be our focus and were the largest growth areas for our Diabetrics segment, enabling us to work with </w:t>
      </w:r>
      <w:r>
        <w:rPr>
          <w:rFonts w:ascii="Arial" w:cs="Arial" w:eastAsia="Arial" w:hAnsi="Arial"/>
          <w:sz w:val="14"/>
          <w:szCs w:val="14"/>
          <w:i w:val="1"/>
          <w:iCs w:val="1"/>
          <w:color w:val="auto"/>
        </w:rPr>
        <w:t>Entidad Promotora</w:t>
      </w:r>
      <w:r>
        <w:rPr>
          <w:rFonts w:ascii="Arial" w:cs="Arial" w:eastAsia="Arial" w:hAnsi="Arial"/>
          <w:sz w:val="14"/>
          <w:szCs w:val="14"/>
          <w:color w:val="auto"/>
        </w:rPr>
        <w:t xml:space="preserve"> </w:t>
      </w:r>
      <w:r>
        <w:rPr>
          <w:rFonts w:ascii="Arial" w:cs="Arial" w:eastAsia="Arial" w:hAnsi="Arial"/>
          <w:sz w:val="14"/>
          <w:szCs w:val="14"/>
          <w:i w:val="1"/>
          <w:iCs w:val="1"/>
          <w:color w:val="auto"/>
        </w:rPr>
        <w:t>de Salud</w:t>
      </w:r>
      <w:r>
        <w:rPr>
          <w:rFonts w:ascii="Arial" w:cs="Arial" w:eastAsia="Arial" w:hAnsi="Arial"/>
          <w:sz w:val="14"/>
          <w:szCs w:val="14"/>
          <w:color w:val="auto"/>
        </w:rPr>
        <w:t>, one of the largest government sponsored health insurance available in Colombia, and reach more patients during the year ended December 31, 2021. Additionally, we</w:t>
      </w:r>
      <w:r>
        <w:rPr>
          <w:rFonts w:ascii="Arial" w:cs="Arial" w:eastAsia="Arial" w:hAnsi="Arial"/>
          <w:sz w:val="14"/>
          <w:szCs w:val="14"/>
          <w:i w:val="1"/>
          <w:iCs w:val="1"/>
          <w:color w:val="auto"/>
        </w:rPr>
        <w:t xml:space="preserve"> </w:t>
      </w:r>
      <w:r>
        <w:rPr>
          <w:rFonts w:ascii="Arial" w:cs="Arial" w:eastAsia="Arial" w:hAnsi="Arial"/>
          <w:sz w:val="14"/>
          <w:szCs w:val="14"/>
          <w:color w:val="auto"/>
        </w:rPr>
        <w:t>launched diabetes therapeutic solutions and medical devices in El Salvador in April 2021, which contributed to our increased sales for the year ended December 31, 2021.</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74" w:name="page75"/>
    <w:bookmarkEnd w:id="74"/>
    <w:p>
      <w:pPr>
        <w:jc w:val="both"/>
        <w:ind w:left="4" w:right="20" w:firstLine="574"/>
        <w:spacing w:after="0" w:line="262" w:lineRule="auto"/>
        <w:rPr>
          <w:sz w:val="20"/>
          <w:szCs w:val="20"/>
          <w:color w:val="auto"/>
        </w:rPr>
      </w:pPr>
      <w:r>
        <w:rPr>
          <w:rFonts w:ascii="Arial" w:cs="Arial" w:eastAsia="Arial" w:hAnsi="Arial"/>
          <w:sz w:val="16"/>
          <w:szCs w:val="16"/>
          <w:color w:val="auto"/>
        </w:rPr>
        <w:t>Gross profit of the Diabetrics segment increased by $2.7 million, or 27.3%, from $9.9 million for the year ended December 31, 2020, to $12.6 million for the year ended December 31, 2021, primarily as a result of a shift in sales to a more profitable product portfolio mix focused on Rx products, which was partially offset by a devaluation of the Colombian peso of approximately 15% which we were able to mitigate due to the efficiencies we were able to generate.</w:t>
      </w:r>
    </w:p>
    <w:p>
      <w:pPr>
        <w:spacing w:after="0" w:line="162"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Contribution Margin of the Diabetrics segment increased by $1.3 million, or 23.6%, from $5.5 million for the year ended December 31, 2020 to $6.8 million for the year ended December 31, 2021, primarily as a result of the increase in revenue and the shift to a more profitable product mix described above, which was partially offset by the increase in sales and marketing expenses due to such activities gradually returning to pre-pandemic levels, as well as the launching of our new insulin product Insulin Glargine (Glaritus).</w:t>
      </w:r>
    </w:p>
    <w:p>
      <w:pPr>
        <w:spacing w:after="0" w:line="165" w:lineRule="exact"/>
        <w:rPr>
          <w:sz w:val="20"/>
          <w:szCs w:val="20"/>
          <w:color w:val="auto"/>
        </w:rPr>
      </w:pPr>
    </w:p>
    <w:p>
      <w:pPr>
        <w:jc w:val="both"/>
        <w:ind w:left="4" w:firstLine="574"/>
        <w:spacing w:after="0" w:line="280" w:lineRule="auto"/>
        <w:rPr>
          <w:sz w:val="20"/>
          <w:szCs w:val="20"/>
          <w:color w:val="auto"/>
        </w:rPr>
      </w:pPr>
      <w:r>
        <w:rPr>
          <w:rFonts w:ascii="Arial" w:cs="Arial" w:eastAsia="Arial" w:hAnsi="Arial"/>
          <w:sz w:val="15"/>
          <w:szCs w:val="15"/>
          <w:color w:val="auto"/>
        </w:rPr>
        <w:t>On a constant currency basis, revenue attributable to the Diabetrics segment increased by $6.3 million, or 27.5%, from $22.8 million for the year ended December 31, 2020 to $29.1 million for the year ended December 31, 2021, gross profit attributable to the Diabetrics segment increased by $2.8 million, or 28.5%, from $9.9 million for the year ended December 31, 2020 to $12.7 million for the year ended December 31, 2021, and Contribution Margin attributable to the Diabetrics segment increased by $1.4 million, or 25.9%, from $5.5 million for the year ended December 31, 2020 to $6.9 million for the year ended December 31, 2021.</w:t>
      </w:r>
    </w:p>
    <w:p>
      <w:pPr>
        <w:spacing w:after="0" w:line="147" w:lineRule="exact"/>
        <w:rPr>
          <w:sz w:val="20"/>
          <w:szCs w:val="20"/>
          <w:color w:val="auto"/>
        </w:rPr>
      </w:pPr>
    </w:p>
    <w:p>
      <w:pPr>
        <w:ind w:left="7184" w:right="1840" w:hanging="7176"/>
        <w:spacing w:after="0" w:line="432" w:lineRule="auto"/>
        <w:rPr>
          <w:sz w:val="20"/>
          <w:szCs w:val="20"/>
          <w:color w:val="auto"/>
        </w:rPr>
      </w:pPr>
      <w:r>
        <w:rPr>
          <w:rFonts w:ascii="Arial" w:cs="Arial" w:eastAsia="Arial" w:hAnsi="Arial"/>
          <w:sz w:val="15"/>
          <w:szCs w:val="15"/>
          <w:b w:val="1"/>
          <w:bCs w:val="1"/>
          <w:color w:val="auto"/>
        </w:rPr>
        <w:t>Results by Segments After Inter-Segment Elimination Excluding Corporate for the years ended December 31, 2020 and December 31, 2019 Reportable segments</w:t>
      </w:r>
    </w:p>
    <w:tbl>
      <w:tblPr>
        <w:tblLayout w:type="fixed"/>
        <w:tblInd w:w="4" w:type="dxa"/>
        <w:tblCellMar>
          <w:top w:w="0" w:type="dxa"/>
          <w:left w:w="0" w:type="dxa"/>
          <w:bottom w:w="0" w:type="dxa"/>
          <w:right w:w="0" w:type="dxa"/>
        </w:tblCellMar>
      </w:tblPr>
      <w:tr>
        <w:trPr>
          <w:trHeight w:val="160"/>
        </w:trPr>
        <w:tc>
          <w:tcPr>
            <w:tcW w:w="4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Results for the year ended December 31, 2020</w:t>
            </w:r>
            <w:r>
              <w:rPr>
                <w:rFonts w:ascii="Arial" w:cs="Arial" w:eastAsia="Arial" w:hAnsi="Arial"/>
                <w:sz w:val="26"/>
                <w:szCs w:val="26"/>
                <w:b w:val="1"/>
                <w:bCs w:val="1"/>
                <w:color w:val="auto"/>
                <w:vertAlign w:val="superscript"/>
              </w:rPr>
              <w:t>(1)</w:t>
            </w:r>
          </w:p>
        </w:tc>
        <w:tc>
          <w:tcPr>
            <w:tcW w:w="13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520"/>
              <w:spacing w:after="0" w:line="160" w:lineRule="exact"/>
              <w:rPr>
                <w:sz w:val="20"/>
                <w:szCs w:val="20"/>
                <w:color w:val="auto"/>
              </w:rPr>
            </w:pPr>
            <w:r>
              <w:rPr>
                <w:rFonts w:ascii="Arial" w:cs="Arial" w:eastAsia="Arial" w:hAnsi="Arial"/>
                <w:sz w:val="16"/>
                <w:szCs w:val="16"/>
                <w:b w:val="1"/>
                <w:bCs w:val="1"/>
                <w:color w:val="auto"/>
              </w:rPr>
              <w:t>Procaps</w:t>
            </w:r>
          </w:p>
        </w:tc>
        <w:tc>
          <w:tcPr>
            <w:tcW w:w="14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620" w:type="dxa"/>
            <w:vAlign w:val="bottom"/>
            <w:gridSpan w:val="2"/>
            <w:vMerge w:val="continue"/>
          </w:tcPr>
          <w:p>
            <w:pPr>
              <w:spacing w:after="0"/>
              <w:rPr>
                <w:sz w:val="18"/>
                <w:szCs w:val="18"/>
                <w:color w:val="auto"/>
              </w:rPr>
            </w:pPr>
          </w:p>
        </w:tc>
        <w:tc>
          <w:tcPr>
            <w:tcW w:w="1380" w:type="dxa"/>
            <w:vAlign w:val="bottom"/>
          </w:tcPr>
          <w:p>
            <w:pPr>
              <w:jc w:val="right"/>
              <w:ind w:right="460"/>
              <w:spacing w:after="0"/>
              <w:rPr>
                <w:sz w:val="20"/>
                <w:szCs w:val="20"/>
                <w:color w:val="auto"/>
              </w:rPr>
            </w:pPr>
            <w:r>
              <w:rPr>
                <w:rFonts w:ascii="Arial" w:cs="Arial" w:eastAsia="Arial" w:hAnsi="Arial"/>
                <w:sz w:val="16"/>
                <w:szCs w:val="16"/>
                <w:b w:val="1"/>
                <w:bCs w:val="1"/>
                <w:color w:val="auto"/>
              </w:rPr>
              <w:t>NextGel</w:t>
            </w:r>
          </w:p>
        </w:tc>
        <w:tc>
          <w:tcPr>
            <w:tcW w:w="1440" w:type="dxa"/>
            <w:vAlign w:val="bottom"/>
          </w:tcPr>
          <w:p>
            <w:pPr>
              <w:jc w:val="right"/>
              <w:ind w:right="460"/>
              <w:spacing w:after="0"/>
              <w:rPr>
                <w:sz w:val="20"/>
                <w:szCs w:val="20"/>
                <w:color w:val="auto"/>
              </w:rPr>
            </w:pPr>
            <w:r>
              <w:rPr>
                <w:rFonts w:ascii="Arial" w:cs="Arial" w:eastAsia="Arial" w:hAnsi="Arial"/>
                <w:sz w:val="16"/>
                <w:szCs w:val="16"/>
                <w:b w:val="1"/>
                <w:bCs w:val="1"/>
                <w:color w:val="auto"/>
              </w:rPr>
              <w:t>Colombia</w:t>
            </w:r>
          </w:p>
        </w:tc>
        <w:tc>
          <w:tcPr>
            <w:tcW w:w="1440" w:type="dxa"/>
            <w:vAlign w:val="bottom"/>
          </w:tcPr>
          <w:p>
            <w:pPr>
              <w:jc w:val="right"/>
              <w:ind w:right="700"/>
              <w:spacing w:after="0"/>
              <w:rPr>
                <w:sz w:val="20"/>
                <w:szCs w:val="20"/>
                <w:color w:val="auto"/>
              </w:rPr>
            </w:pPr>
            <w:r>
              <w:rPr>
                <w:rFonts w:ascii="Arial" w:cs="Arial" w:eastAsia="Arial" w:hAnsi="Arial"/>
                <w:sz w:val="16"/>
                <w:szCs w:val="16"/>
                <w:b w:val="1"/>
                <w:bCs w:val="1"/>
                <w:color w:val="auto"/>
              </w:rPr>
              <w:t>CAN</w:t>
            </w: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CASAND</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Diabetrics</w:t>
            </w:r>
          </w:p>
        </w:tc>
        <w:tc>
          <w:tcPr>
            <w:tcW w:w="0" w:type="dxa"/>
            <w:vAlign w:val="bottom"/>
          </w:tcPr>
          <w:p>
            <w:pPr>
              <w:spacing w:after="0"/>
              <w:rPr>
                <w:sz w:val="1"/>
                <w:szCs w:val="1"/>
                <w:color w:val="auto"/>
              </w:rPr>
            </w:pPr>
          </w:p>
        </w:tc>
      </w:tr>
      <w:tr>
        <w:trPr>
          <w:trHeight w:val="191"/>
        </w:trPr>
        <w:tc>
          <w:tcPr>
            <w:tcW w:w="4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(in thousands of U.S. dollars)</w:t>
            </w:r>
          </w:p>
        </w:tc>
        <w:tc>
          <w:tcPr>
            <w:tcW w:w="1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105,979</w:t>
            </w: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114,895</w:t>
            </w:r>
          </w:p>
        </w:tc>
        <w:tc>
          <w:tcPr>
            <w:tcW w:w="144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45,613</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38,556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22,789</w:t>
            </w: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57,577</w:t>
            </w: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63,303</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29,606</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27,331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9,863</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Contribution Margin</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46,889</w:t>
            </w: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42,231</w:t>
            </w:r>
          </w:p>
        </w:tc>
        <w:tc>
          <w:tcPr>
            <w:tcW w:w="144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15,521</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9,814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5,487</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62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i w:val="1"/>
                <w:iCs w:val="1"/>
                <w:color w:val="auto"/>
              </w:rPr>
              <w:t>Constant currency basis</w:t>
            </w:r>
            <w:r>
              <w:rPr>
                <w:rFonts w:ascii="Arial" w:cs="Arial" w:eastAsia="Arial" w:hAnsi="Arial"/>
                <w:sz w:val="26"/>
                <w:szCs w:val="26"/>
                <w:color w:val="auto"/>
                <w:vertAlign w:val="superscript"/>
              </w:rPr>
              <w:t>(2)</w:t>
            </w:r>
          </w:p>
        </w:tc>
        <w:tc>
          <w:tcPr>
            <w:tcW w:w="1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120,250</w:t>
            </w: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129,331</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45,996</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39,028</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25,653</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65,028</w:t>
            </w: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72,199</w:t>
            </w:r>
          </w:p>
        </w:tc>
        <w:tc>
          <w:tcPr>
            <w:tcW w:w="144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30,045</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27,927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620" w:type="dxa"/>
            <w:vAlign w:val="bottom"/>
            <w:gridSpan w:val="2"/>
          </w:tcPr>
          <w:p>
            <w:pPr>
              <w:spacing w:after="0"/>
              <w:rPr>
                <w:sz w:val="20"/>
                <w:szCs w:val="20"/>
                <w:color w:val="auto"/>
              </w:rPr>
            </w:pPr>
            <w:r>
              <w:rPr>
                <w:rFonts w:ascii="Arial" w:cs="Arial" w:eastAsia="Arial" w:hAnsi="Arial"/>
                <w:sz w:val="16"/>
                <w:szCs w:val="16"/>
                <w:color w:val="auto"/>
              </w:rPr>
              <w:t>Contribution Margin</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53,007</w:t>
            </w: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48,480</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15,527</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10,366</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6,172</w:t>
            </w:r>
          </w:p>
        </w:tc>
        <w:tc>
          <w:tcPr>
            <w:tcW w:w="0" w:type="dxa"/>
            <w:vAlign w:val="bottom"/>
          </w:tcPr>
          <w:p>
            <w:pPr>
              <w:spacing w:after="0"/>
              <w:rPr>
                <w:sz w:val="1"/>
                <w:szCs w:val="1"/>
                <w:color w:val="auto"/>
              </w:rPr>
            </w:pPr>
          </w:p>
        </w:tc>
      </w:tr>
    </w:tbl>
    <w:p>
      <w:pPr>
        <w:spacing w:after="0" w:line="174"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87"/>
              </w:rPr>
              <w:t>Reportable segments</w:t>
            </w:r>
          </w:p>
        </w:tc>
        <w:tc>
          <w:tcPr>
            <w:tcW w:w="1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Results for the year ended December 31, 2019</w:t>
            </w:r>
            <w:r>
              <w:rPr>
                <w:rFonts w:ascii="Arial" w:cs="Arial" w:eastAsia="Arial" w:hAnsi="Arial"/>
                <w:sz w:val="26"/>
                <w:szCs w:val="26"/>
                <w:b w:val="1"/>
                <w:bCs w:val="1"/>
                <w:color w:val="auto"/>
                <w:vertAlign w:val="superscript"/>
              </w:rPr>
              <w:t>(1)</w:t>
            </w:r>
          </w:p>
        </w:tc>
        <w:tc>
          <w:tcPr>
            <w:tcW w:w="1380" w:type="dxa"/>
            <w:vAlign w:val="bottom"/>
          </w:tcPr>
          <w:p>
            <w:pPr>
              <w:spacing w:after="0"/>
              <w:rPr>
                <w:sz w:val="15"/>
                <w:szCs w:val="15"/>
                <w:color w:val="auto"/>
              </w:rPr>
            </w:pPr>
          </w:p>
        </w:tc>
        <w:tc>
          <w:tcPr>
            <w:tcW w:w="1160" w:type="dxa"/>
            <w:vAlign w:val="bottom"/>
          </w:tcPr>
          <w:p>
            <w:pPr>
              <w:jc w:val="right"/>
              <w:ind w:right="240"/>
              <w:spacing w:after="0" w:line="175" w:lineRule="exact"/>
              <w:rPr>
                <w:sz w:val="20"/>
                <w:szCs w:val="20"/>
                <w:color w:val="auto"/>
              </w:rPr>
            </w:pPr>
            <w:r>
              <w:rPr>
                <w:rFonts w:ascii="Arial" w:cs="Arial" w:eastAsia="Arial" w:hAnsi="Arial"/>
                <w:sz w:val="16"/>
                <w:szCs w:val="16"/>
                <w:b w:val="1"/>
                <w:bCs w:val="1"/>
                <w:color w:val="auto"/>
              </w:rPr>
              <w:t>Procaps</w:t>
            </w:r>
          </w:p>
        </w:tc>
        <w:tc>
          <w:tcPr>
            <w:tcW w:w="1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620" w:type="dxa"/>
            <w:vAlign w:val="bottom"/>
            <w:gridSpan w:val="2"/>
            <w:vMerge w:val="continue"/>
          </w:tcPr>
          <w:p>
            <w:pPr>
              <w:spacing w:after="0"/>
              <w:rPr>
                <w:sz w:val="18"/>
                <w:szCs w:val="18"/>
                <w:color w:val="auto"/>
              </w:rPr>
            </w:pPr>
          </w:p>
        </w:tc>
        <w:tc>
          <w:tcPr>
            <w:tcW w:w="1380" w:type="dxa"/>
            <w:vAlign w:val="bottom"/>
          </w:tcPr>
          <w:p>
            <w:pPr>
              <w:jc w:val="right"/>
              <w:ind w:right="460"/>
              <w:spacing w:after="0"/>
              <w:rPr>
                <w:sz w:val="20"/>
                <w:szCs w:val="20"/>
                <w:color w:val="auto"/>
              </w:rPr>
            </w:pPr>
            <w:r>
              <w:rPr>
                <w:rFonts w:ascii="Arial" w:cs="Arial" w:eastAsia="Arial" w:hAnsi="Arial"/>
                <w:sz w:val="16"/>
                <w:szCs w:val="16"/>
                <w:b w:val="1"/>
                <w:bCs w:val="1"/>
                <w:color w:val="auto"/>
              </w:rPr>
              <w:t>NextGel</w:t>
            </w:r>
          </w:p>
        </w:tc>
        <w:tc>
          <w:tcPr>
            <w:tcW w:w="1160" w:type="dxa"/>
            <w:vAlign w:val="bottom"/>
          </w:tcPr>
          <w:p>
            <w:pPr>
              <w:jc w:val="right"/>
              <w:ind w:right="180"/>
              <w:spacing w:after="0"/>
              <w:rPr>
                <w:sz w:val="20"/>
                <w:szCs w:val="20"/>
                <w:color w:val="auto"/>
              </w:rPr>
            </w:pPr>
            <w:r>
              <w:rPr>
                <w:rFonts w:ascii="Arial" w:cs="Arial" w:eastAsia="Arial" w:hAnsi="Arial"/>
                <w:sz w:val="16"/>
                <w:szCs w:val="16"/>
                <w:b w:val="1"/>
                <w:bCs w:val="1"/>
                <w:color w:val="auto"/>
              </w:rPr>
              <w:t>Colombia</w:t>
            </w:r>
          </w:p>
        </w:tc>
        <w:tc>
          <w:tcPr>
            <w:tcW w:w="1720" w:type="dxa"/>
            <w:vAlign w:val="bottom"/>
          </w:tcPr>
          <w:p>
            <w:pPr>
              <w:jc w:val="right"/>
              <w:ind w:right="700"/>
              <w:spacing w:after="0"/>
              <w:rPr>
                <w:sz w:val="20"/>
                <w:szCs w:val="20"/>
                <w:color w:val="auto"/>
              </w:rPr>
            </w:pPr>
            <w:r>
              <w:rPr>
                <w:rFonts w:ascii="Arial" w:cs="Arial" w:eastAsia="Arial" w:hAnsi="Arial"/>
                <w:sz w:val="16"/>
                <w:szCs w:val="16"/>
                <w:b w:val="1"/>
                <w:bCs w:val="1"/>
                <w:color w:val="auto"/>
              </w:rPr>
              <w:t>CAN</w:t>
            </w: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CASAND</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Diabetrics</w:t>
            </w:r>
          </w:p>
        </w:tc>
        <w:tc>
          <w:tcPr>
            <w:tcW w:w="0" w:type="dxa"/>
            <w:vAlign w:val="bottom"/>
          </w:tcPr>
          <w:p>
            <w:pPr>
              <w:spacing w:after="0"/>
              <w:rPr>
                <w:sz w:val="1"/>
                <w:szCs w:val="1"/>
                <w:color w:val="auto"/>
              </w:rPr>
            </w:pPr>
          </w:p>
        </w:tc>
      </w:tr>
      <w:tr>
        <w:trPr>
          <w:trHeight w:val="191"/>
        </w:trPr>
        <w:tc>
          <w:tcPr>
            <w:tcW w:w="4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(in thousands of U.S. dollars)</w:t>
            </w:r>
          </w:p>
        </w:tc>
        <w:tc>
          <w:tcPr>
            <w:tcW w:w="1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97,289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120,112</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49,679</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40,061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22,228</w:t>
            </w: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50,328</w:t>
            </w:r>
          </w:p>
        </w:tc>
        <w:tc>
          <w:tcPr>
            <w:tcW w:w="1160" w:type="dxa"/>
            <w:vAlign w:val="bottom"/>
          </w:tcPr>
          <w:p>
            <w:pPr>
              <w:jc w:val="right"/>
              <w:spacing w:after="0"/>
              <w:rPr>
                <w:sz w:val="20"/>
                <w:szCs w:val="20"/>
                <w:color w:val="auto"/>
              </w:rPr>
            </w:pPr>
            <w:r>
              <w:rPr>
                <w:rFonts w:ascii="Arial" w:cs="Arial" w:eastAsia="Arial" w:hAnsi="Arial"/>
                <w:sz w:val="16"/>
                <w:szCs w:val="16"/>
                <w:color w:val="auto"/>
              </w:rPr>
              <w:t>66,482</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32,256</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28,300</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9,711</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Contribution Margin</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39,196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37,420</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17,002</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10,422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bl>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462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1"/>
              </w:rPr>
              <w:t>Comparison of results for the years ended December 31, 2020 and</w:t>
            </w:r>
          </w:p>
        </w:tc>
        <w:tc>
          <w:tcPr>
            <w:tcW w:w="13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Reportable segments</w:t>
            </w:r>
          </w:p>
        </w:tc>
        <w:tc>
          <w:tcPr>
            <w:tcW w:w="1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62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1480" w:type="dxa"/>
            <w:vAlign w:val="bottom"/>
          </w:tcPr>
          <w:p>
            <w:pPr>
              <w:jc w:val="right"/>
              <w:ind w:right="560"/>
              <w:spacing w:after="0" w:line="168" w:lineRule="exact"/>
              <w:rPr>
                <w:sz w:val="20"/>
                <w:szCs w:val="20"/>
                <w:color w:val="auto"/>
              </w:rPr>
            </w:pPr>
            <w:r>
              <w:rPr>
                <w:rFonts w:ascii="Arial" w:cs="Arial" w:eastAsia="Arial" w:hAnsi="Arial"/>
                <w:sz w:val="16"/>
                <w:szCs w:val="16"/>
                <w:b w:val="1"/>
                <w:bCs w:val="1"/>
                <w:color w:val="auto"/>
              </w:rPr>
              <w:t>Procaps</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line="238" w:lineRule="exact"/>
              <w:rPr>
                <w:sz w:val="20"/>
                <w:szCs w:val="20"/>
                <w:color w:val="auto"/>
              </w:rPr>
            </w:pPr>
            <w:r>
              <w:rPr>
                <w:rFonts w:ascii="Arial" w:cs="Arial" w:eastAsia="Arial" w:hAnsi="Arial"/>
                <w:sz w:val="16"/>
                <w:szCs w:val="16"/>
                <w:b w:val="1"/>
                <w:bCs w:val="1"/>
                <w:color w:val="auto"/>
              </w:rPr>
              <w:t>2019</w:t>
            </w:r>
            <w:r>
              <w:rPr>
                <w:rFonts w:ascii="Arial" w:cs="Arial" w:eastAsia="Arial" w:hAnsi="Arial"/>
                <w:sz w:val="26"/>
                <w:szCs w:val="26"/>
                <w:b w:val="1"/>
                <w:bCs w:val="1"/>
                <w:color w:val="auto"/>
                <w:vertAlign w:val="superscript"/>
              </w:rPr>
              <w:t>(1)</w:t>
            </w:r>
          </w:p>
        </w:tc>
        <w:tc>
          <w:tcPr>
            <w:tcW w:w="120" w:type="dxa"/>
            <w:vAlign w:val="bottom"/>
          </w:tcPr>
          <w:p>
            <w:pPr>
              <w:spacing w:after="0"/>
              <w:rPr>
                <w:sz w:val="21"/>
                <w:szCs w:val="21"/>
                <w:color w:val="auto"/>
              </w:rPr>
            </w:pPr>
          </w:p>
        </w:tc>
        <w:tc>
          <w:tcPr>
            <w:tcW w:w="1380" w:type="dxa"/>
            <w:vAlign w:val="bottom"/>
          </w:tcPr>
          <w:p>
            <w:pPr>
              <w:jc w:val="right"/>
              <w:ind w:right="460"/>
              <w:spacing w:after="0"/>
              <w:rPr>
                <w:sz w:val="20"/>
                <w:szCs w:val="20"/>
                <w:color w:val="auto"/>
              </w:rPr>
            </w:pPr>
            <w:r>
              <w:rPr>
                <w:rFonts w:ascii="Arial" w:cs="Arial" w:eastAsia="Arial" w:hAnsi="Arial"/>
                <w:sz w:val="16"/>
                <w:szCs w:val="16"/>
                <w:b w:val="1"/>
                <w:bCs w:val="1"/>
                <w:color w:val="auto"/>
              </w:rPr>
              <w:t>NextGel</w:t>
            </w:r>
          </w:p>
        </w:tc>
        <w:tc>
          <w:tcPr>
            <w:tcW w:w="1480" w:type="dxa"/>
            <w:vAlign w:val="bottom"/>
          </w:tcPr>
          <w:p>
            <w:pPr>
              <w:jc w:val="right"/>
              <w:ind w:right="500"/>
              <w:spacing w:after="0"/>
              <w:rPr>
                <w:sz w:val="20"/>
                <w:szCs w:val="20"/>
                <w:color w:val="auto"/>
              </w:rPr>
            </w:pPr>
            <w:r>
              <w:rPr>
                <w:rFonts w:ascii="Arial" w:cs="Arial" w:eastAsia="Arial" w:hAnsi="Arial"/>
                <w:sz w:val="16"/>
                <w:szCs w:val="16"/>
                <w:b w:val="1"/>
                <w:bCs w:val="1"/>
                <w:color w:val="auto"/>
              </w:rPr>
              <w:t>Colombia</w:t>
            </w:r>
          </w:p>
        </w:tc>
        <w:tc>
          <w:tcPr>
            <w:tcW w:w="1400" w:type="dxa"/>
            <w:vAlign w:val="bottom"/>
          </w:tcPr>
          <w:p>
            <w:pPr>
              <w:jc w:val="right"/>
              <w:ind w:right="700"/>
              <w:spacing w:after="0"/>
              <w:rPr>
                <w:sz w:val="20"/>
                <w:szCs w:val="20"/>
                <w:color w:val="auto"/>
              </w:rPr>
            </w:pPr>
            <w:r>
              <w:rPr>
                <w:rFonts w:ascii="Arial" w:cs="Arial" w:eastAsia="Arial" w:hAnsi="Arial"/>
                <w:sz w:val="16"/>
                <w:szCs w:val="16"/>
                <w:b w:val="1"/>
                <w:bCs w:val="1"/>
                <w:color w:val="auto"/>
              </w:rPr>
              <w:t>CAN</w:t>
            </w:r>
          </w:p>
        </w:tc>
        <w:tc>
          <w:tcPr>
            <w:tcW w:w="1180" w:type="dxa"/>
            <w:vAlign w:val="bottom"/>
          </w:tcPr>
          <w:p>
            <w:pPr>
              <w:jc w:val="right"/>
              <w:ind w:right="380"/>
              <w:spacing w:after="0"/>
              <w:rPr>
                <w:sz w:val="20"/>
                <w:szCs w:val="20"/>
                <w:color w:val="auto"/>
              </w:rPr>
            </w:pPr>
            <w:r>
              <w:rPr>
                <w:rFonts w:ascii="Arial" w:cs="Arial" w:eastAsia="Arial" w:hAnsi="Arial"/>
                <w:sz w:val="16"/>
                <w:szCs w:val="16"/>
                <w:b w:val="1"/>
                <w:bCs w:val="1"/>
                <w:color w:val="auto"/>
              </w:rPr>
              <w:t>CASAND</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Diabetrics</w:t>
            </w:r>
          </w:p>
        </w:tc>
        <w:tc>
          <w:tcPr>
            <w:tcW w:w="0" w:type="dxa"/>
            <w:vAlign w:val="bottom"/>
          </w:tcPr>
          <w:p>
            <w:pPr>
              <w:spacing w:after="0"/>
              <w:rPr>
                <w:sz w:val="1"/>
                <w:szCs w:val="1"/>
                <w:color w:val="auto"/>
              </w:rPr>
            </w:pPr>
          </w:p>
        </w:tc>
      </w:tr>
      <w:tr>
        <w:trPr>
          <w:trHeight w:val="191"/>
        </w:trPr>
        <w:tc>
          <w:tcPr>
            <w:tcW w:w="4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(in thousands of U.S. dollars)</w:t>
            </w:r>
          </w:p>
        </w:tc>
        <w:tc>
          <w:tcPr>
            <w:tcW w:w="1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8,690</w:t>
            </w:r>
          </w:p>
        </w:tc>
        <w:tc>
          <w:tcPr>
            <w:tcW w:w="14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(5,217)</w:t>
            </w:r>
          </w:p>
        </w:tc>
        <w:tc>
          <w:tcPr>
            <w:tcW w:w="14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(4,066)</w:t>
            </w: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(1,505)</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7,249</w:t>
            </w:r>
          </w:p>
        </w:tc>
        <w:tc>
          <w:tcPr>
            <w:tcW w:w="1480" w:type="dxa"/>
            <w:vAlign w:val="bottom"/>
          </w:tcPr>
          <w:p>
            <w:pPr>
              <w:jc w:val="right"/>
              <w:ind w:right="220"/>
              <w:spacing w:after="0"/>
              <w:rPr>
                <w:sz w:val="20"/>
                <w:szCs w:val="20"/>
                <w:color w:val="auto"/>
              </w:rPr>
            </w:pPr>
            <w:r>
              <w:rPr>
                <w:rFonts w:ascii="Arial" w:cs="Arial" w:eastAsia="Arial" w:hAnsi="Arial"/>
                <w:sz w:val="16"/>
                <w:szCs w:val="16"/>
                <w:color w:val="auto"/>
              </w:rPr>
              <w:t>(3,179)</w:t>
            </w:r>
          </w:p>
        </w:tc>
        <w:tc>
          <w:tcPr>
            <w:tcW w:w="1400" w:type="dxa"/>
            <w:vAlign w:val="bottom"/>
          </w:tcPr>
          <w:p>
            <w:pPr>
              <w:jc w:val="right"/>
              <w:ind w:right="260"/>
              <w:spacing w:after="0"/>
              <w:rPr>
                <w:sz w:val="20"/>
                <w:szCs w:val="20"/>
                <w:color w:val="auto"/>
              </w:rPr>
            </w:pPr>
            <w:r>
              <w:rPr>
                <w:rFonts w:ascii="Arial" w:cs="Arial" w:eastAsia="Arial" w:hAnsi="Arial"/>
                <w:sz w:val="16"/>
                <w:szCs w:val="16"/>
                <w:color w:val="auto"/>
              </w:rPr>
              <w:t>(2,650)</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(969)</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Contribution Margin</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7,693</w:t>
            </w:r>
          </w:p>
        </w:tc>
        <w:tc>
          <w:tcPr>
            <w:tcW w:w="14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4,811</w:t>
            </w:r>
          </w:p>
        </w:tc>
        <w:tc>
          <w:tcPr>
            <w:tcW w:w="14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(1,481)</w:t>
            </w: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(609)</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62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i w:val="1"/>
                <w:iCs w:val="1"/>
                <w:color w:val="auto"/>
              </w:rPr>
              <w:t>Constant currency basis</w:t>
            </w:r>
            <w:r>
              <w:rPr>
                <w:rFonts w:ascii="Arial" w:cs="Arial" w:eastAsia="Arial" w:hAnsi="Arial"/>
                <w:sz w:val="26"/>
                <w:szCs w:val="26"/>
                <w:color w:val="auto"/>
                <w:vertAlign w:val="superscript"/>
              </w:rPr>
              <w:t>(2)</w:t>
            </w:r>
          </w:p>
        </w:tc>
        <w:tc>
          <w:tcPr>
            <w:tcW w:w="13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22,961</w:t>
            </w:r>
          </w:p>
        </w:tc>
        <w:tc>
          <w:tcPr>
            <w:tcW w:w="1480" w:type="dxa"/>
            <w:vAlign w:val="bottom"/>
          </w:tcPr>
          <w:p>
            <w:pPr>
              <w:jc w:val="right"/>
              <w:ind w:right="280"/>
              <w:spacing w:after="0"/>
              <w:rPr>
                <w:sz w:val="20"/>
                <w:szCs w:val="20"/>
                <w:color w:val="auto"/>
              </w:rPr>
            </w:pPr>
            <w:r>
              <w:rPr>
                <w:rFonts w:ascii="Arial" w:cs="Arial" w:eastAsia="Arial" w:hAnsi="Arial"/>
                <w:sz w:val="16"/>
                <w:szCs w:val="16"/>
                <w:color w:val="auto"/>
              </w:rPr>
              <w:t>9,219</w:t>
            </w:r>
          </w:p>
        </w:tc>
        <w:tc>
          <w:tcPr>
            <w:tcW w:w="1400" w:type="dxa"/>
            <w:vAlign w:val="bottom"/>
          </w:tcPr>
          <w:p>
            <w:pPr>
              <w:jc w:val="right"/>
              <w:ind w:right="260"/>
              <w:spacing w:after="0"/>
              <w:rPr>
                <w:sz w:val="20"/>
                <w:szCs w:val="20"/>
                <w:color w:val="auto"/>
              </w:rPr>
            </w:pPr>
            <w:r>
              <w:rPr>
                <w:rFonts w:ascii="Arial" w:cs="Arial" w:eastAsia="Arial" w:hAnsi="Arial"/>
                <w:sz w:val="16"/>
                <w:szCs w:val="16"/>
                <w:color w:val="auto"/>
              </w:rPr>
              <w:t>(3,683)</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(1,033)</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3,425</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14,700</w:t>
            </w:r>
          </w:p>
        </w:tc>
        <w:tc>
          <w:tcPr>
            <w:tcW w:w="14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5,717</w:t>
            </w:r>
          </w:p>
        </w:tc>
        <w:tc>
          <w:tcPr>
            <w:tcW w:w="14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(2,210)</w:t>
            </w: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(372)</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04"/>
        </w:trPr>
        <w:tc>
          <w:tcPr>
            <w:tcW w:w="4620" w:type="dxa"/>
            <w:vAlign w:val="bottom"/>
            <w:gridSpan w:val="2"/>
          </w:tcPr>
          <w:p>
            <w:pPr>
              <w:spacing w:after="0"/>
              <w:rPr>
                <w:sz w:val="20"/>
                <w:szCs w:val="20"/>
                <w:color w:val="auto"/>
              </w:rPr>
            </w:pPr>
            <w:r>
              <w:rPr>
                <w:rFonts w:ascii="Arial" w:cs="Arial" w:eastAsia="Arial" w:hAnsi="Arial"/>
                <w:sz w:val="16"/>
                <w:szCs w:val="16"/>
                <w:color w:val="auto"/>
              </w:rPr>
              <w:t>Contribution Margin</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13,811</w:t>
            </w:r>
          </w:p>
        </w:tc>
        <w:tc>
          <w:tcPr>
            <w:tcW w:w="1480" w:type="dxa"/>
            <w:vAlign w:val="bottom"/>
          </w:tcPr>
          <w:p>
            <w:pPr>
              <w:jc w:val="right"/>
              <w:ind w:right="280"/>
              <w:spacing w:after="0"/>
              <w:rPr>
                <w:sz w:val="20"/>
                <w:szCs w:val="20"/>
                <w:color w:val="auto"/>
              </w:rPr>
            </w:pPr>
            <w:r>
              <w:rPr>
                <w:rFonts w:ascii="Arial" w:cs="Arial" w:eastAsia="Arial" w:hAnsi="Arial"/>
                <w:sz w:val="16"/>
                <w:szCs w:val="16"/>
                <w:color w:val="auto"/>
              </w:rPr>
              <w:t>11,060</w:t>
            </w:r>
          </w:p>
        </w:tc>
        <w:tc>
          <w:tcPr>
            <w:tcW w:w="1400" w:type="dxa"/>
            <w:vAlign w:val="bottom"/>
          </w:tcPr>
          <w:p>
            <w:pPr>
              <w:jc w:val="right"/>
              <w:ind w:right="260"/>
              <w:spacing w:after="0"/>
              <w:rPr>
                <w:sz w:val="20"/>
                <w:szCs w:val="20"/>
                <w:color w:val="auto"/>
              </w:rPr>
            </w:pPr>
            <w:r>
              <w:rPr>
                <w:rFonts w:ascii="Arial" w:cs="Arial" w:eastAsia="Arial" w:hAnsi="Arial"/>
                <w:sz w:val="16"/>
                <w:szCs w:val="16"/>
                <w:color w:val="auto"/>
              </w:rPr>
              <w:t>(1,474)</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(56)</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284" w:hanging="284"/>
        <w:spacing w:after="0" w:line="269" w:lineRule="auto"/>
        <w:tabs>
          <w:tab w:leader="none" w:pos="284" w:val="left"/>
        </w:tabs>
        <w:numPr>
          <w:ilvl w:val="0"/>
          <w:numId w:val="29"/>
        </w:numPr>
        <w:rPr>
          <w:rFonts w:ascii="Arial" w:cs="Arial" w:eastAsia="Arial" w:hAnsi="Arial"/>
          <w:sz w:val="15"/>
          <w:szCs w:val="15"/>
          <w:color w:val="auto"/>
        </w:rPr>
      </w:pPr>
      <w:r>
        <w:rPr>
          <w:rFonts w:ascii="Arial" w:cs="Arial" w:eastAsia="Arial" w:hAnsi="Arial"/>
          <w:sz w:val="15"/>
          <w:szCs w:val="15"/>
          <w:color w:val="auto"/>
        </w:rPr>
        <w:t>During the year ended December 31, 2021, we changed our methodology for calculating our internal measurement of segment profit and loss. We revised how cost of goods sold is measured in our businesses segments by revising the allocation of standard cost inventory variances. As a result of such changes, the segment results for the years ended December 31, 2020 and 2019 have been recast to conform with the new methodology adopted for the year ended December 31, 2021. This change did not have any impact on our consolidated results of operations, EBITDA or Adjusted EBITDA for the years ended December 31, 2020 and 2019. For further information, see Note 8 “Segment reporting” to the Annual Audited Consolidated Financial Statements included elsewhere in this annual report.</w:t>
      </w:r>
    </w:p>
    <w:p>
      <w:pPr>
        <w:spacing w:after="0" w:line="2" w:lineRule="exact"/>
        <w:rPr>
          <w:rFonts w:ascii="Arial" w:cs="Arial" w:eastAsia="Arial" w:hAnsi="Arial"/>
          <w:sz w:val="15"/>
          <w:szCs w:val="15"/>
          <w:color w:val="auto"/>
        </w:rPr>
      </w:pPr>
    </w:p>
    <w:p>
      <w:pPr>
        <w:ind w:left="284" w:right="20" w:hanging="284"/>
        <w:spacing w:after="0" w:line="258" w:lineRule="auto"/>
        <w:tabs>
          <w:tab w:leader="none" w:pos="284"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Certain constant currency figures for the year ended December 31, 2020 have been updated to correct amounts reflected in the Company’s Registration Statement on Form F-1 (Registration No. 333-261366).</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i w:val="1"/>
          <w:iCs w:val="1"/>
          <w:color w:val="auto"/>
        </w:rPr>
        <w:t>NextGel</w:t>
      </w:r>
    </w:p>
    <w:p>
      <w:pPr>
        <w:spacing w:after="0" w:line="198"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Revenue of the NextGel segment increased by $8.7 million, or 8.9%, from $97.3 million for the year ended December 31, 2019 to $106.0 million for the year ended December 31, 2020, primarily as a result of an increase in revenue attributable to Procaps Funtrition product line of approximately $7 million in the year ended December 31, 2020 compared to the year ended December 31, 2019. The vitamin D supplement iCDMO product was launched in Brazil, resulting in an increase in sales of approximately $3.2 million in the year ended December 31, 2020 compared to the year ended December 31, 2019. Production capacity was also expanded as a result of the increase in market opportunities. In addition, certain new analgesic products, such as Acetaminophen and Naproxen, were launched in Ecuador and Australia, resulting in an increase in revenue of approximately $3.0 million in the year ended December 31, 2020 compared to the year ended December 31, 2019.</w:t>
      </w:r>
    </w:p>
    <w:p>
      <w:pPr>
        <w:spacing w:after="0" w:line="157"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Gross profit of the NextGel segment increased by $7.3 million, or 14.5%, from $50.3 million for the year ended December 31, 2019 to $57.6 million for the year ended December 31, 2020, primarily as a result of the increase in revenues described above and certain investments in new technology to shorten the drying time of gummies in our Funtrition product line, which is traditionally one of the more expensive processes for gummy production, resulting in a decrease in costs and expenses associated with production of approximately $1.5 million in the year ended December 31, 2020 compared to the year ended December 31, 2019.</w:t>
      </w:r>
    </w:p>
    <w:p>
      <w:pPr>
        <w:spacing w:after="0" w:line="151"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Contribution Margin of the NextGel segment increased by $7.7 million, or 19.6%, from $39.2 million for the year ended December 31, 2019 to $46.9 for the year ended December 31, 2020, primarily as a result of the increase in gross profit that was discussion above and our successful transition to increase digital marketing discussed above in “——</w:t>
      </w:r>
      <w:r>
        <w:rPr>
          <w:rFonts w:ascii="Arial" w:cs="Arial" w:eastAsia="Arial" w:hAnsi="Arial"/>
          <w:sz w:val="16"/>
          <w:szCs w:val="16"/>
          <w:i w:val="1"/>
          <w:iCs w:val="1"/>
          <w:color w:val="auto"/>
        </w:rPr>
        <w:t>Results of Operations</w:t>
      </w:r>
      <w:r>
        <w:rPr>
          <w:rFonts w:ascii="Arial" w:cs="Arial" w:eastAsia="Arial" w:hAnsi="Arial"/>
          <w:sz w:val="16"/>
          <w:szCs w:val="16"/>
          <w:color w:val="auto"/>
        </w:rPr>
        <w:t>” that resulted in a decrease in selling expenses of approximately $1.0 million in the year ended December 31, 2020 compared to the year ended December 31, 2019.</w:t>
      </w:r>
    </w:p>
    <w:p>
      <w:pPr>
        <w:spacing w:after="0" w:line="165"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On a constant currency basis, net revenue attributable to the NextGel segment increased by $23.0 million, or 23.6%, from $97.3 million for the year ended December 31, 2019 to $120.3 million for the year ended December 31, 2020, gross profit attributable to the NextGel segment increased by $14.7 million, or 29.3%, from $50.3 million for the year ended December 31, 2019 to $65.0 million for the year ended December 31, 2020, and contribution margin attributable to the NextGel segment increased by $13.8 million, or 35.2%, from $39.2 million for the year ended December 31, 2019 to $53.0 million for the year ended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Procaps Colombia</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Revenue of the Procaps Colombia segment decreased by $5.2 million, or 4.3%, from $120.1 million for the year ended December 31, 2019 to $114.9 million for the year ended December 31, 2020, primarily as a result of the devaluation of the Colombian Peso when compared to the U.S. dollar that contributed to a decrease in net revenue of approximately $14.3 million in the year ended December 31, 2020 compared to the year ended December 31, 2019. Furthermore, the Trade Day Reduction Strategy in connection with the Farma Procaps and VitalCare product lines decreased our revenue growth for the year ended December 31, 2020. The Trade Day Reduction Strategy reduced the distributor’s trade days for the Farma Procaps and VitalCare product lines by 25 days and 7 days, respectively.</w:t>
      </w:r>
    </w:p>
    <w:p>
      <w:pPr>
        <w:spacing w:after="0" w:line="15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The decrease in net revenue was partially offset by (i) increased demand for certain of our’ products due to our digital advertising strategy referenced above, and (ii) our initiative to focus resources on customers and products that generate higher margins and require less working capital. Products such as Levothyroxine, Azithromycin, Esomeprazole and Deferon experienced an increase in sales, resulting in an increase in sales of $3.5 million from $8.7 million for the year ended December 31, 2019 to $12.2 million for the year ended December 31, 2020. The production capacity of our Rymco manufacturing facilities was expanded as a result of the increase in demand for these products.</w:t>
      </w:r>
    </w:p>
    <w:p>
      <w:pPr>
        <w:spacing w:after="0" w:line="170"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Gross profit of the Procaps Colombia segment decreased by $3.2 million, or 4.8%, from $66.5 million for the year ended December 31, 2019 to $63.3 million for the year ended December 31, 2020, primarily as a result of the decrease in net revenues as discussed above. Procaps Colombia was able to negotiate higher discounts for certain raw materials (such as Enoxaparin, Menoperen, Tapectam and glass) used in the manufacturing of certain products due to an increase in purchase quantities, resulting in a decrease in raw material costs of approximately $1.3 million in the year ended December 31, 2020 compared to the year ended December 31, 2019. Furthermore, we have increased our production efficiencies through process automation and improvements in batch production management that reduce per-unit production costs.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76" w:name="page77"/>
    <w:bookmarkEnd w:id="76"/>
    <w:p>
      <w:pPr>
        <w:jc w:val="both"/>
        <w:ind w:right="20" w:firstLine="574"/>
        <w:spacing w:after="0" w:line="258" w:lineRule="auto"/>
        <w:rPr>
          <w:sz w:val="20"/>
          <w:szCs w:val="20"/>
          <w:color w:val="auto"/>
        </w:rPr>
      </w:pPr>
      <w:r>
        <w:rPr>
          <w:rFonts w:ascii="Arial" w:cs="Arial" w:eastAsia="Arial" w:hAnsi="Arial"/>
          <w:sz w:val="16"/>
          <w:szCs w:val="16"/>
          <w:color w:val="auto"/>
        </w:rPr>
        <w:t>Contribution Margin of the Procaps Colombia segment increased by $4.8 million, or 12.8%, from $37.4 million for the year ended December 31, 2019 to $42.2 million for the year ended December 31, 2020, primarily as a result of our successful transition to increase digital marketing discussed above in “——Results of Operations” that resulted in a decrease in selling expenses of approximately $8.0 million in the year ended December 31, 2020 compared to the year ended December 31, 2019 and as a result of increased sales due to the roll out of new products during the year ended December 31, 2020.</w:t>
      </w:r>
    </w:p>
    <w:p>
      <w:pPr>
        <w:spacing w:after="0" w:line="165"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On a constant currency basis, net revenue attributable to Procaps Colombia increased by $9.2 million, or 7.7%, from $120.1 million for the year ended December 31, 2019 to $129.3 million for the year ended December 31, 2020, gross profit attributable to Procaps Colombia increased by $5.7 million, or 8.6%, from $66.5 million for the year ended December 31, 2019 to $72.2 million for the year ended December 31, 2020, and contribution margin attributable to Procaps Colombia increased by $11.1 million, or 29.6%, from $37.4 million for the year ended December 31, 2019 to $48.5 million for the year ended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CAN</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Revenue of the CAN segment decreased by $4.1 million, or 8.2%, from $49.7 million for the year ended December 31, 2019 to $45.6 million for the year ended December 31, 2020, primarily as a result the divestiture of certain product brands that were no longer strategic, which generated revenues of approximately $3.1 million for the year ended December 31, 2019, which did not occur in 2020 as we did not divest itself of any product brands that year, resulting in no revenue from product brand divestitures for the year ended December 31, 2020. Furthermore, as part of the corporate strategy, CAN discontinued a portfolio of renal failure and hemodialysis treatment products during the year ended December 31, 2020, which had generated revenues of $4 million for the year ended December 31, 2019.</w:t>
      </w:r>
    </w:p>
    <w:p>
      <w:pPr>
        <w:spacing w:after="0" w:line="15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Excluding the divestiture of product brands in 2019 and the discontinuing of its portfolio of renal failure and hemodialysis treatment products, CAN would have had an increase in net revenue of $3.0 million, primarily due to an increase in sales and distribution of VitalCare products for El Salvador, Guatemala, and Honduras due to an increase in the number of distributors in those countries, allowing us to increase the number of sales points in products are sold and the sales quota in each single one of the pharmacies where our products are present.</w:t>
      </w:r>
    </w:p>
    <w:p>
      <w:pPr>
        <w:spacing w:after="0" w:line="165"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Gross profit of the CAN segment decreased by $2.7 million, or 8.4%, from $32.3 million for the year ended December 31, 2019 to $29.6 million for the year ended December 31, 2020, primarily as a result of the divestiture of certain product brands in 2019 and the discontinuing of our portfolio of renal failure and hemodialysis treatment products described above. This decrease in gross profit was partially offset by increasing our media presence by changing our advertisement contracts from individual to a more regional approach, resulting in lower costs, and a restructuring of the management for CAN segment by introducing new regional management for every business unit, resulting in cost reductions of approximately $2.5 million in the year ended December 31, 2020 compared to the year ended December 31, 2019. Furthermore, we increased our production efficiencies through process automation and improvement in batch production management in our El Salvador facilities by standardizing packaging for similar products, reducing unit manufacturing costs and expenses.</w:t>
      </w:r>
    </w:p>
    <w:p>
      <w:pPr>
        <w:spacing w:after="0" w:line="17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Contribution Margin of the CAN segment decreased by $1.5 million, or 8.8%, from $17.0 million for the year ended December 31, 2019 to $15.5 million for the year ended December 31, 2020, primarily as a result of the decrease in gross profit described above, despite of our successful transition to increase digital marketing discussed above in “—Results of Operations” that resulted in a decrease in selling expenses of approximately $1.2 million in the year ended December 31, 2020 compared to the year ended December 31, 2019.</w:t>
      </w:r>
    </w:p>
    <w:p>
      <w:pPr>
        <w:spacing w:after="0" w:line="165"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On a constant currency basis, net revenue attributable to the CAN segment decreased by $3.7 million, or 7.5%, from $49.7 million for the year ended December 31, 2019 to $46.0 million for the year ended December 31, 2020, gross profit attributable to the CAN segment decreased by $2.3 million, or 7.0%, from $32.3 million for the year ended December 31, 2019 to $30.0 million for the year ended December 31, 2020, and contribution margin attributable to the CAN segment decreased by $1.5 million, or 8.7%, from $17.0 million for the year ended December 31, 2019 to $15.5 million for the year ended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CASAND</w:t>
      </w:r>
    </w:p>
    <w:p>
      <w:pPr>
        <w:spacing w:after="0" w:line="198"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Revenue of the CASAND segment decreased by $1.5 million, or 3.7%, from $40.1 million for the year ended December 31, 2019 to $38.6 million for the year ended December 31, 2020, primarily due to the adoption of the Trade Day Reduction Strategy as discussed above, which resulted in distributors’ trade days decreasing by 33 days for the year ended December 31, 2020. The decrease in net revenue was partially offset by (i) the launch of certain new products, such as Gestavid DHA, Ezolimum and Clenox that resulted in an increase in revenue of $3.4 million in the year ended December 31, 2020 compared to the year ended December 31, 2019, and (ii) the implementation of a new policy to lower product discounts, which resulted in additional net revenues of $1.0 million in the year ended December 31, 2020 compared to the year ended December 31, 2019.</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Gross profit of the CASAND segment decreased by $1.0 million, or 3.5%, from $28.3 million for the year ended December 31, 2019 to $27.3 million for the year ended December 31, 2020, primarily as a result of the reduction in net revenue as discussed above.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77" w:name="page78"/>
    <w:bookmarkEnd w:id="77"/>
    <w:p>
      <w:pPr>
        <w:jc w:val="both"/>
        <w:ind w:right="20" w:firstLine="574"/>
        <w:spacing w:after="0" w:line="287" w:lineRule="auto"/>
        <w:rPr>
          <w:sz w:val="20"/>
          <w:szCs w:val="20"/>
          <w:color w:val="auto"/>
        </w:rPr>
      </w:pPr>
      <w:r>
        <w:rPr>
          <w:rFonts w:ascii="Arial" w:cs="Arial" w:eastAsia="Arial" w:hAnsi="Arial"/>
          <w:sz w:val="15"/>
          <w:szCs w:val="15"/>
          <w:color w:val="auto"/>
        </w:rPr>
        <w:t>Contribution Margin of the CASAND segment decreased by $0.6 million, or 5.8%, from $10.4 million for the year ended December 31, 2019 to $9.8 million for the year ended December 31, 2020, primarily as a result of our successful transition to increase digital marketing discussed above in “——Results of Operations” that resulted in a decrease in selling expenses of approximately $2.0 million in the year ended December 31, 2020 compared to the year ended December 31, 2019.</w:t>
      </w:r>
    </w:p>
    <w:p>
      <w:pPr>
        <w:spacing w:after="0" w:line="146"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On a constant currency basis, net revenue attributable to the CASAND segment decreased by $1.1 million, or 2.7%, from $40.1 million for the year ended December 31, 2019 to $39.0 million for the year ended December 31, 2020, gross profit attributable to the CASAND segment decreased by $0.4 million, or 1.3%, from $28.3 million for the year ended December 31, 2019 to $27.9 million for the year ended December 31, 2020, and contribution margin attributable to the CASAND segment decreased by $56,200, or 0.3%, from $10.4 million for the year ended December 31, 2019 to $10.4 million for the year ended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Diabetrics</w:t>
      </w:r>
    </w:p>
    <w:p>
      <w:pPr>
        <w:spacing w:after="0" w:line="198"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Revenue of the Diabetrics segment increased by $0.6 million, or 2.7%, from $22.2 million for the year ended December 31, 2019 to $22.8 million for the year ended December 31, 2020, primarily as a result of the increase in demand for certain products and integral solutions for diabetes due to the increase in the number of patients diagnosed with diabetes. In Colombia, generally between 35% and 40% of patients with diabetes are diagnosed every year by the Colombia healthcare system, which usually results in an increase in the number of diabetes patients every year. Furthermore, we launched several new products including Preventia complex, an insulin needle, which resulted in an increase in sales revenue of approximately $0.9 million in the year ended December 31, 2020 compared to the year ended December 31, 2019. The increase in net revenue was partially offset by a decrease in revenue of $3.0 million in the year ended December 31, 2020 compared to the year ended December 31, 2019 due to the devaluation of the Colombian Peso when compared to the U.S. dollar.</w:t>
      </w:r>
    </w:p>
    <w:p>
      <w:pPr>
        <w:spacing w:after="0" w:line="15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Gross profit of the Diabetrics segment increased by $0.2 million, or 2.1%, from $9.7 million for the year ended December 31, 2019 to $9.9 million for the year ended December 31, 2020, primarily as a result of the increase in net revenue as discussed above.</w:t>
      </w:r>
    </w:p>
    <w:p>
      <w:pPr>
        <w:spacing w:after="0" w:line="15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Contribution Margin of the Diabetrics segment increased by $0.7 million, or 14.6%, from $4.8 million for the year ended December 31, 2019 to $5.5 million for the year ended December 31, 2020, primarily as a result of our successful transition to increase digital marketing discussed above in “——Results of Operations” that resulted in a decrease in selling expenses of approximately $0.5 million in the year ended December 31, 2020 compared to the year ended December 31, 2019.</w:t>
      </w:r>
    </w:p>
    <w:p>
      <w:pPr>
        <w:spacing w:after="0" w:line="146"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On a constant currency basis, net revenue attributable to the Diabetrics segment increased by $3.5 million, or 15.6%, from $22.2 million for the year ended December 31, 2019 to $25.7 million for the year ended December 31, 2020, gross profit attributable to the Diabetrics segment increased by $1.4 million, or 14.4%, from $9.7 million for the year ended December 31, 2019 to $11.1 million for the year ended December 31, 2020, and contribution margin attributable to the Diabetrics segment increased by $1.4 million, or 28.6%, from $4.8 million for the year ended December 31, 2019 to $6.2 million for the year ended December 31, 2020.</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Non-IFRS Financial Measures</w:t>
      </w:r>
    </w:p>
    <w:p>
      <w:pPr>
        <w:spacing w:after="0" w:line="20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Our management uses certain non-IFRS financial information to assess our operating performance across periods and for business planning purposes. We believe the presentation of these non-IFRS financial measures is useful to investors as it provides additional information to facilitate comparisons of historical operating results, identify trends in our underlying operating results and provide additional insight and transparency on how we evaluate our business. We use non-IFRS financial measures to budget, make operating and strategic decisions, and evaluate our performance. Below is a description of the non-IFRS financial measures we have used in this annual report, including any adjustments to the IFRS financial measures derived therefrom. We believe the non-IFRS measures should always be considered along with the related IFRS financial measures. We have provided the reconciliations between the IFRS and non-IFRS financial measures below, and we also discuss our underlying IFRS results throughout Item 5 of this annual report.</w:t>
      </w:r>
    </w:p>
    <w:p>
      <w:pPr>
        <w:spacing w:after="0" w:line="17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The primary non-IFRS financial measures utilized by our management is described below and reflects how we evaluate our current and prior-year operating results. As new events or circumstances arise, our management may alter the definitions of such measures to better reflect our financial performance or adopt new measures in the future. In the event any of these definitions change, or if new non-IFRS financial measures are adopted by our management, we will provide the updated definitions and present the related non-IFRS historical results on a comparable basis.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78" w:name="page79"/>
    <w:bookmarkEnd w:id="78"/>
    <w:p>
      <w:pPr>
        <w:ind w:left="4"/>
        <w:spacing w:after="0"/>
        <w:rPr>
          <w:sz w:val="20"/>
          <w:szCs w:val="20"/>
          <w:color w:val="auto"/>
        </w:rPr>
      </w:pPr>
      <w:r>
        <w:rPr>
          <w:rFonts w:ascii="Arial" w:cs="Arial" w:eastAsia="Arial" w:hAnsi="Arial"/>
          <w:sz w:val="16"/>
          <w:szCs w:val="16"/>
          <w:b w:val="1"/>
          <w:bCs w:val="1"/>
          <w:i w:val="1"/>
          <w:iCs w:val="1"/>
          <w:color w:val="auto"/>
        </w:rPr>
        <w:t>Use of Constant Currency</w:t>
      </w:r>
    </w:p>
    <w:p>
      <w:pPr>
        <w:spacing w:after="0" w:line="198" w:lineRule="exact"/>
        <w:rPr>
          <w:sz w:val="20"/>
          <w:szCs w:val="20"/>
          <w:color w:val="auto"/>
        </w:rPr>
      </w:pPr>
    </w:p>
    <w:p>
      <w:pPr>
        <w:jc w:val="both"/>
        <w:ind w:left="4" w:firstLine="574"/>
        <w:spacing w:after="0" w:line="270" w:lineRule="auto"/>
        <w:rPr>
          <w:sz w:val="20"/>
          <w:szCs w:val="20"/>
          <w:color w:val="auto"/>
        </w:rPr>
      </w:pPr>
      <w:r>
        <w:rPr>
          <w:rFonts w:ascii="Arial" w:cs="Arial" w:eastAsia="Arial" w:hAnsi="Arial"/>
          <w:sz w:val="15"/>
          <w:szCs w:val="15"/>
          <w:color w:val="auto"/>
        </w:rPr>
        <w:t>As exchange rates are an important factor in understanding period-to-period comparisons, we believe the presentation of certain financial metrics and results on a constant currency basis in addition to the IFRS reported results helps improve investors’ ability to understand our operating results and evaluate our performance in comparison to prior periods. Constant currency information is non-IFRS financial information that compares results between periods as if exchange rates had remained constant period-over-period. We use results on a constant currency basis as one measure to evaluate our performance. We currently present revenue, cost of sales, gross profit, sales and marketing expenses, administrative expenses, Contribution Margin (consolidated and by segment) and Adjusted EBITDA on a constant currency basis. We calculate constant currency by calculating year-end period for the years ended December 31, 2021 and 2020 using prior-periods (year ended December 31, 2020 and December 31, 2019, respectively) foreign currency exchange rates. The functional foreign currencies for the primary regional markets where we operate, such as the Colombian Peso and the Brazilian Real, were adjusted on a constant currency basis at the exchange rates of COP $3,693.36 per U.S. $1.00 and R$5.1578 per U.S. $1.00, respectively, for the year ended December 31, 2021, and COP $3,281.09 per U.S. $1.00 and R$3.9443 per U.S. $1.00, respectively, for the year ended December 31, 2020. We generally refer to such amounts calculated on a constant currency basis as excluding the impact of foreign exchange. These results should be considered in addition to, not as a substitute for, results reported in accordance with IFRS. Results on a constant currency basis, as we present them, may not be comparable to similarly titled measures used by other companies and are not measures of performance presented in accordance with IFRS.</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EBITDA, Adjusted EBITDA and Adjusted EBITDA Margin</w:t>
      </w:r>
    </w:p>
    <w:p>
      <w:pPr>
        <w:spacing w:after="0" w:line="198" w:lineRule="exact"/>
        <w:rPr>
          <w:sz w:val="20"/>
          <w:szCs w:val="20"/>
          <w:color w:val="auto"/>
        </w:rPr>
      </w:pPr>
    </w:p>
    <w:p>
      <w:pPr>
        <w:jc w:val="both"/>
        <w:ind w:left="4" w:right="20" w:firstLine="574"/>
        <w:spacing w:after="0" w:line="272" w:lineRule="auto"/>
        <w:rPr>
          <w:sz w:val="20"/>
          <w:szCs w:val="20"/>
          <w:color w:val="auto"/>
        </w:rPr>
      </w:pPr>
      <w:r>
        <w:rPr>
          <w:rFonts w:ascii="Arial" w:cs="Arial" w:eastAsia="Arial" w:hAnsi="Arial"/>
          <w:sz w:val="15"/>
          <w:szCs w:val="15"/>
          <w:color w:val="auto"/>
        </w:rPr>
        <w:t>We define EBITDA as profit (loss) for the year before interest expense, net, income tax expense and depreciation and amortization. We define Adjusted EBITDA as EBITDA further adjusted to exclude certain isolated costs incurred as a result of the COVID-19 pandemic, certain transaction costs incurred in connection with the Business Combination, certain listing expenses incurred in connection with the Business Combination, certain costs related to business transformation initiatives, certain foreign currency translation adjustments, and certain other finance costs and other nonrecurring, nonoperational or unordinary items as the Company may deem appropriate from time to time. Adjusted EBITDA is one of the key performance indicators we use in evaluating our operating performance and in making financial, operating, and planning decisions. We believe EBITDA and Adjusted EBITDA are useful to investors in evaluating our operating performance compared to other companies in the pharmaceutical industry, as similar measures are commonly used by companies in this industry. We also report Adjusted EBITDA as a percentage of revenue as an additional measure so investors may evaluate our Adjusted EBITDA margins on revenue.</w:t>
      </w:r>
    </w:p>
    <w:p>
      <w:pPr>
        <w:spacing w:after="0" w:line="157" w:lineRule="exact"/>
        <w:rPr>
          <w:sz w:val="20"/>
          <w:szCs w:val="20"/>
          <w:color w:val="auto"/>
        </w:rPr>
      </w:pPr>
    </w:p>
    <w:p>
      <w:pPr>
        <w:jc w:val="both"/>
        <w:ind w:left="4" w:firstLine="574"/>
        <w:spacing w:after="0" w:line="275" w:lineRule="auto"/>
        <w:rPr>
          <w:sz w:val="20"/>
          <w:szCs w:val="20"/>
          <w:color w:val="auto"/>
        </w:rPr>
      </w:pPr>
      <w:r>
        <w:rPr>
          <w:rFonts w:ascii="Arial" w:cs="Arial" w:eastAsia="Arial" w:hAnsi="Arial"/>
          <w:sz w:val="16"/>
          <w:szCs w:val="16"/>
          <w:color w:val="auto"/>
        </w:rPr>
        <w:t>The following table provides a reconciliation from profit (loss) for the year to EBITDA and Adjusted EBITDA, and Adjusted EBITDA margins for the years ended December 31, 2021 and 2020.</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5820" w:type="dxa"/>
            <w:vAlign w:val="bottom"/>
          </w:tcPr>
          <w:p>
            <w:pPr>
              <w:spacing w:after="0"/>
              <w:rPr>
                <w:sz w:val="16"/>
                <w:szCs w:val="16"/>
                <w:color w:val="auto"/>
              </w:rPr>
            </w:pPr>
          </w:p>
        </w:tc>
        <w:tc>
          <w:tcPr>
            <w:tcW w:w="27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For the year ended</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2"/>
        </w:trPr>
        <w:tc>
          <w:tcPr>
            <w:tcW w:w="5820" w:type="dxa"/>
            <w:vAlign w:val="bottom"/>
          </w:tcPr>
          <w:p>
            <w:pPr>
              <w:spacing w:after="0"/>
              <w:rPr>
                <w:sz w:val="18"/>
                <w:szCs w:val="18"/>
                <w:color w:val="auto"/>
              </w:rPr>
            </w:pPr>
          </w:p>
        </w:tc>
        <w:tc>
          <w:tcPr>
            <w:tcW w:w="1760" w:type="dxa"/>
            <w:vAlign w:val="bottom"/>
            <w:gridSpan w:val="3"/>
          </w:tcPr>
          <w:p>
            <w:pPr>
              <w:jc w:val="center"/>
              <w:ind w:left="680"/>
              <w:spacing w:after="0"/>
              <w:rPr>
                <w:sz w:val="20"/>
                <w:szCs w:val="20"/>
                <w:color w:val="auto"/>
              </w:rPr>
            </w:pPr>
            <w:r>
              <w:rPr>
                <w:rFonts w:ascii="Arial" w:cs="Arial" w:eastAsia="Arial" w:hAnsi="Arial"/>
                <w:sz w:val="16"/>
                <w:szCs w:val="16"/>
                <w:b w:val="1"/>
                <w:bCs w:val="1"/>
                <w:color w:val="auto"/>
                <w:w w:val="88"/>
              </w:rPr>
              <w:t>December 31,</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Increase/(Decrease)</w:t>
            </w:r>
          </w:p>
        </w:tc>
      </w:tr>
      <w:tr>
        <w:trPr>
          <w:trHeight w:val="207"/>
        </w:trPr>
        <w:tc>
          <w:tcPr>
            <w:tcW w:w="58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2020</w:t>
            </w:r>
          </w:p>
        </w:tc>
        <w:tc>
          <w:tcPr>
            <w:tcW w:w="280" w:type="dxa"/>
            <w:vAlign w:val="bottom"/>
            <w:tcBorders>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 Change</w:t>
            </w:r>
          </w:p>
        </w:tc>
        <w:tc>
          <w:tcPr>
            <w:tcW w:w="9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98"/>
              </w:rPr>
              <w:t>% Change</w:t>
            </w:r>
          </w:p>
        </w:tc>
        <w:tc>
          <w:tcPr>
            <w:tcW w:w="220" w:type="dxa"/>
            <w:vAlign w:val="bottom"/>
          </w:tcPr>
          <w:p>
            <w:pPr>
              <w:spacing w:after="0"/>
              <w:rPr>
                <w:sz w:val="18"/>
                <w:szCs w:val="18"/>
                <w:color w:val="auto"/>
              </w:rPr>
            </w:pPr>
          </w:p>
        </w:tc>
      </w:tr>
      <w:tr>
        <w:trPr>
          <w:trHeight w:val="195"/>
        </w:trPr>
        <w:tc>
          <w:tcPr>
            <w:tcW w:w="5820" w:type="dxa"/>
            <w:vAlign w:val="bottom"/>
            <w:tcBorders>
              <w:bottom w:val="single" w:sz="8" w:color="CCEEFF"/>
            </w:tcBorders>
          </w:tcPr>
          <w:p>
            <w:pPr>
              <w:spacing w:after="0"/>
              <w:rPr>
                <w:sz w:val="16"/>
                <w:szCs w:val="16"/>
                <w:color w:val="auto"/>
              </w:rPr>
            </w:pPr>
          </w:p>
        </w:tc>
        <w:tc>
          <w:tcPr>
            <w:tcW w:w="4240" w:type="dxa"/>
            <w:vAlign w:val="bottom"/>
            <w:tcBorders>
              <w:bottom w:val="single" w:sz="8" w:color="auto"/>
            </w:tcBorders>
            <w:gridSpan w:val="8"/>
          </w:tcPr>
          <w:p>
            <w:pPr>
              <w:ind w:left="1040"/>
              <w:spacing w:after="0"/>
              <w:rPr>
                <w:sz w:val="20"/>
                <w:szCs w:val="20"/>
                <w:color w:val="auto"/>
              </w:rPr>
            </w:pPr>
            <w:r>
              <w:rPr>
                <w:rFonts w:ascii="Arial" w:cs="Arial" w:eastAsia="Arial" w:hAnsi="Arial"/>
                <w:sz w:val="16"/>
                <w:szCs w:val="16"/>
                <w:i w:val="1"/>
                <w:iCs w:val="1"/>
                <w:color w:val="auto"/>
                <w:w w:val="90"/>
              </w:rPr>
              <w:t>(in thousands of U.S. dollars except percentages)</w:t>
            </w: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r>
      <w:tr>
        <w:trPr>
          <w:trHeight w:val="191"/>
        </w:trPr>
        <w:tc>
          <w:tcPr>
            <w:tcW w:w="5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for the year</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(100,863)</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(10,447)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(90,416)</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865%</w:t>
            </w:r>
          </w:p>
        </w:tc>
      </w:tr>
      <w:tr>
        <w:trPr>
          <w:trHeight w:val="191"/>
        </w:trPr>
        <w:tc>
          <w:tcPr>
            <w:tcW w:w="5820" w:type="dxa"/>
            <w:vAlign w:val="bottom"/>
          </w:tcPr>
          <w:p>
            <w:pPr>
              <w:spacing w:after="0"/>
              <w:rPr>
                <w:sz w:val="20"/>
                <w:szCs w:val="20"/>
                <w:color w:val="auto"/>
              </w:rPr>
            </w:pPr>
            <w:r>
              <w:rPr>
                <w:rFonts w:ascii="Arial" w:cs="Arial" w:eastAsia="Arial" w:hAnsi="Arial"/>
                <w:sz w:val="16"/>
                <w:szCs w:val="16"/>
                <w:color w:val="auto"/>
              </w:rPr>
              <w:t>Interest expense, net</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78,636</w:t>
            </w:r>
          </w:p>
        </w:tc>
        <w:tc>
          <w:tcPr>
            <w:tcW w:w="36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54,489</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24,147</w:t>
            </w:r>
          </w:p>
        </w:tc>
        <w:tc>
          <w:tcPr>
            <w:tcW w:w="1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44%</w:t>
            </w:r>
          </w:p>
        </w:tc>
      </w:tr>
      <w:tr>
        <w:trPr>
          <w:trHeight w:val="191"/>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13,705</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11,296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2,409</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7"/>
        </w:trPr>
        <w:tc>
          <w:tcPr>
            <w:tcW w:w="5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15,111</w:t>
            </w:r>
          </w:p>
        </w:tc>
        <w:tc>
          <w:tcPr>
            <w:tcW w:w="3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16,477</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(1,366)</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11"/>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EBITDA</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71,815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(65,226</w:t>
            </w:r>
          </w:p>
        </w:tc>
        <w:tc>
          <w:tcPr>
            <w:tcW w:w="20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r>
      <w:tr>
        <w:trPr>
          <w:trHeight w:val="199"/>
        </w:trPr>
        <w:tc>
          <w:tcPr>
            <w:tcW w:w="5820" w:type="dxa"/>
            <w:vAlign w:val="bottom"/>
          </w:tcPr>
          <w:p>
            <w:pPr>
              <w:spacing w:after="0" w:line="199" w:lineRule="exact"/>
              <w:rPr>
                <w:sz w:val="20"/>
                <w:szCs w:val="20"/>
                <w:color w:val="auto"/>
              </w:rPr>
            </w:pPr>
            <w:r>
              <w:rPr>
                <w:rFonts w:ascii="Arial" w:cs="Arial" w:eastAsia="Arial" w:hAnsi="Arial"/>
                <w:sz w:val="14"/>
                <w:szCs w:val="14"/>
                <w:color w:val="auto"/>
              </w:rPr>
              <w:t>COVID-19 impact adjustments</w:t>
            </w:r>
            <w:r>
              <w:rPr>
                <w:rFonts w:ascii="Arial" w:cs="Arial" w:eastAsia="Arial" w:hAnsi="Arial"/>
                <w:sz w:val="23"/>
                <w:szCs w:val="23"/>
                <w:color w:val="auto"/>
                <w:vertAlign w:val="superscript"/>
              </w:rPr>
              <w:t>(1)</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3,788</w:t>
            </w:r>
          </w:p>
        </w:tc>
        <w:tc>
          <w:tcPr>
            <w:tcW w:w="36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5,180</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(1,392)</w:t>
            </w:r>
          </w:p>
        </w:tc>
        <w:tc>
          <w:tcPr>
            <w:tcW w:w="1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27"/>
        </w:trPr>
        <w:tc>
          <w:tcPr>
            <w:tcW w:w="58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Business transformation initiatives</w:t>
            </w:r>
            <w:r>
              <w:rPr>
                <w:rFonts w:ascii="Arial" w:cs="Arial" w:eastAsia="Arial" w:hAnsi="Arial"/>
                <w:sz w:val="26"/>
                <w:szCs w:val="26"/>
                <w:color w:val="auto"/>
                <w:vertAlign w:val="superscript"/>
              </w:rPr>
              <w:t>(2)</w:t>
            </w:r>
          </w:p>
        </w:tc>
        <w:tc>
          <w:tcPr>
            <w:tcW w:w="176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1,723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(1,723)</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27"/>
        </w:trPr>
        <w:tc>
          <w:tcPr>
            <w:tcW w:w="5820" w:type="dxa"/>
            <w:vAlign w:val="bottom"/>
          </w:tcPr>
          <w:p>
            <w:pPr>
              <w:spacing w:after="0" w:line="227" w:lineRule="exact"/>
              <w:rPr>
                <w:sz w:val="20"/>
                <w:szCs w:val="20"/>
                <w:color w:val="auto"/>
              </w:rPr>
            </w:pPr>
            <w:r>
              <w:rPr>
                <w:rFonts w:ascii="Arial" w:cs="Arial" w:eastAsia="Arial" w:hAnsi="Arial"/>
                <w:sz w:val="16"/>
                <w:szCs w:val="16"/>
                <w:color w:val="auto"/>
              </w:rPr>
              <w:t>Foreign currency translation adjustments</w:t>
            </w:r>
            <w:r>
              <w:rPr>
                <w:rFonts w:ascii="Arial" w:cs="Arial" w:eastAsia="Arial" w:hAnsi="Arial"/>
                <w:sz w:val="26"/>
                <w:szCs w:val="26"/>
                <w:color w:val="auto"/>
                <w:vertAlign w:val="superscript"/>
              </w:rPr>
              <w:t>(3)</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4,026</w:t>
            </w:r>
          </w:p>
        </w:tc>
        <w:tc>
          <w:tcPr>
            <w:tcW w:w="3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3,905</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121</w:t>
            </w: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27"/>
        </w:trPr>
        <w:tc>
          <w:tcPr>
            <w:tcW w:w="58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Other finance costs adjustments</w:t>
            </w:r>
            <w:r>
              <w:rPr>
                <w:rFonts w:ascii="Arial" w:cs="Arial" w:eastAsia="Arial" w:hAnsi="Arial"/>
                <w:sz w:val="26"/>
                <w:szCs w:val="26"/>
                <w:color w:val="auto"/>
                <w:vertAlign w:val="superscript"/>
              </w:rPr>
              <w:t>(4)</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696</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1,996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(1,300)</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27"/>
        </w:trPr>
        <w:tc>
          <w:tcPr>
            <w:tcW w:w="5820" w:type="dxa"/>
            <w:vAlign w:val="bottom"/>
          </w:tcPr>
          <w:p>
            <w:pPr>
              <w:spacing w:after="0" w:line="227" w:lineRule="exact"/>
              <w:rPr>
                <w:sz w:val="20"/>
                <w:szCs w:val="20"/>
                <w:color w:val="auto"/>
              </w:rPr>
            </w:pPr>
            <w:r>
              <w:rPr>
                <w:rFonts w:ascii="Arial" w:cs="Arial" w:eastAsia="Arial" w:hAnsi="Arial"/>
                <w:sz w:val="16"/>
                <w:szCs w:val="16"/>
                <w:color w:val="auto"/>
              </w:rPr>
              <w:t>Transactions expenses</w:t>
            </w:r>
            <w:r>
              <w:rPr>
                <w:rFonts w:ascii="Arial" w:cs="Arial" w:eastAsia="Arial" w:hAnsi="Arial"/>
                <w:sz w:val="26"/>
                <w:szCs w:val="26"/>
                <w:color w:val="auto"/>
                <w:vertAlign w:val="superscript"/>
              </w:rPr>
              <w:t>(5)</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10,662</w:t>
            </w:r>
          </w:p>
        </w:tc>
        <w:tc>
          <w:tcPr>
            <w:tcW w:w="3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10,662</w:t>
            </w: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59"/>
        </w:trPr>
        <w:tc>
          <w:tcPr>
            <w:tcW w:w="5820" w:type="dxa"/>
            <w:vAlign w:val="bottom"/>
            <w:shd w:val="clear" w:color="auto" w:fill="CCEEFF"/>
          </w:tcPr>
          <w:p>
            <w:pPr>
              <w:spacing w:after="0" w:line="238" w:lineRule="exact"/>
              <w:rPr>
                <w:sz w:val="20"/>
                <w:szCs w:val="20"/>
                <w:color w:val="auto"/>
              </w:rPr>
            </w:pPr>
            <w:r>
              <w:rPr>
                <w:rFonts w:ascii="Arial" w:cs="Arial" w:eastAsia="Arial" w:hAnsi="Arial"/>
                <w:sz w:val="16"/>
                <w:szCs w:val="16"/>
                <w:color w:val="auto"/>
              </w:rPr>
              <w:t>Listing expense</w:t>
            </w:r>
            <w:r>
              <w:rPr>
                <w:rFonts w:ascii="Arial" w:cs="Arial" w:eastAsia="Arial" w:hAnsi="Arial"/>
                <w:sz w:val="26"/>
                <w:szCs w:val="26"/>
                <w:color w:val="auto"/>
                <w:vertAlign w:val="superscript"/>
              </w:rPr>
              <w:t>(6)</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73,917</w:t>
            </w:r>
          </w:p>
        </w:tc>
        <w:tc>
          <w:tcPr>
            <w:tcW w:w="3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73,917</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79"/>
        </w:trPr>
        <w:tc>
          <w:tcPr>
            <w:tcW w:w="582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Adjusted EBITDA</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99,678</w:t>
            </w:r>
          </w:p>
        </w:tc>
        <w:tc>
          <w:tcPr>
            <w:tcW w:w="28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84,619</w:t>
            </w:r>
          </w:p>
        </w:tc>
        <w:tc>
          <w:tcPr>
            <w:tcW w:w="28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15,059</w:t>
            </w:r>
          </w:p>
        </w:tc>
        <w:tc>
          <w:tcPr>
            <w:tcW w:w="20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18</w:t>
            </w:r>
          </w:p>
        </w:tc>
        <w:tc>
          <w:tcPr>
            <w:tcW w:w="22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w:t>
            </w:r>
          </w:p>
        </w:tc>
      </w:tr>
      <w:tr>
        <w:trPr>
          <w:trHeight w:val="211"/>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Constant Currency Adjustments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r>
      <w:tr>
        <w:trPr>
          <w:trHeight w:val="179"/>
        </w:trPr>
        <w:tc>
          <w:tcPr>
            <w:tcW w:w="582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Adjusted EBITDA on Constant Currency Basis</w:t>
            </w: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100,384</w:t>
            </w:r>
          </w:p>
        </w:tc>
        <w:tc>
          <w:tcPr>
            <w:tcW w:w="2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84,619</w:t>
            </w:r>
          </w:p>
        </w:tc>
        <w:tc>
          <w:tcPr>
            <w:tcW w:w="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15,765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19</w:t>
            </w:r>
          </w:p>
        </w:tc>
        <w:tc>
          <w:tcPr>
            <w:tcW w:w="22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w:t>
            </w:r>
          </w:p>
        </w:tc>
      </w:tr>
      <w:tr>
        <w:trPr>
          <w:trHeight w:val="191"/>
        </w:trPr>
        <w:tc>
          <w:tcPr>
            <w:tcW w:w="58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91"/>
        </w:trPr>
        <w:tc>
          <w:tcPr>
            <w:tcW w:w="5820" w:type="dxa"/>
            <w:vAlign w:val="bottom"/>
          </w:tcPr>
          <w:p>
            <w:pPr>
              <w:spacing w:after="0"/>
              <w:rPr>
                <w:sz w:val="20"/>
                <w:szCs w:val="20"/>
                <w:color w:val="auto"/>
              </w:rPr>
            </w:pPr>
            <w:r>
              <w:rPr>
                <w:rFonts w:ascii="Arial" w:cs="Arial" w:eastAsia="Arial" w:hAnsi="Arial"/>
                <w:sz w:val="16"/>
                <w:szCs w:val="16"/>
                <w:b w:val="1"/>
                <w:bCs w:val="1"/>
                <w:color w:val="auto"/>
              </w:rPr>
              <w:t>Adjusted EBITDA margin</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24.3%</w:t>
            </w:r>
          </w:p>
        </w:tc>
        <w:tc>
          <w:tcPr>
            <w:tcW w:w="3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25.5%</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(1.2)%</w:t>
            </w:r>
          </w:p>
        </w:tc>
      </w:tr>
      <w:tr>
        <w:trPr>
          <w:trHeight w:val="191"/>
        </w:trPr>
        <w:tc>
          <w:tcPr>
            <w:tcW w:w="5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 EBITDA margin (on Constant Currency Basis)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24.1%</w:t>
            </w: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bl>
    <w:p>
      <w:pPr>
        <w:spacing w:after="0" w:line="179" w:lineRule="exact"/>
        <w:rPr>
          <w:sz w:val="20"/>
          <w:szCs w:val="20"/>
          <w:color w:val="auto"/>
        </w:rPr>
      </w:pPr>
    </w:p>
    <w:p>
      <w:pPr>
        <w:jc w:val="both"/>
        <w:ind w:left="284" w:hanging="284"/>
        <w:spacing w:after="0" w:line="290" w:lineRule="auto"/>
        <w:tabs>
          <w:tab w:leader="none" w:pos="284"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COVID-19 impact adjustments primarily include: (i) for the year ended December 31, 2021, $1.7 million ($0.5 million for the year ended December 31, 2020) expenses incurred for safety precautions during the pandemic, such as employees COVID-19 testing, vaccination, office and production infrastructure adaptation to practice social distancing, to maintain a safe work and production environment for the employees, (ii) for the year ended December 31, 2021, $0.6 million ($1.2 million for the year ended December 31, 2020) operating and production expenses incurred in connection with hiring of additional employees and costs paid to third party agencies for such hiring, contractors and production sub-contractors in order to mitigate any decrease in production and operating capabilities of Procaps as a result of employees absenteeism or attrition as a result of the COVID-19 pandemic, (iii) for the year ended December 31, 2021, $1.2 million ($0.9 million for the year ended December 31, 2020) expense incurred for certain logistic arrangements to minimize Procaps employees’ exposure to COVID-19 through arranging transportation from home to work, lodgings, face masks and PPE, (iv) for the year ended December 31, 2020, $1.4 million additional costs incurred to acquire certain raw materials that are essential to production due to the lockdowns of suppliers’ factories and ports of entry worldwide, and additional logistic costs due to delays, (v) for the year ended December 31, 2020, $0.9 million expense of certain one-off financial discounts that Procaps provided to its customers, such as medicine distributors, during the COVID-19 pandemic due to financial and liquidity difficulties and customers’ inability to settle invoices as a result of the effects of the COVID-19 pandemic and governmental restrictions such as lockdowns, and (vi) for the year ended December 31, 2021, $0.4 million ($0.2 million for the year ended December 31, 2020) of other miscellaneous expenses resulted from COVID-19 pandemic.</w:t>
      </w:r>
    </w:p>
    <w:p>
      <w:pPr>
        <w:spacing w:after="0" w:line="34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79" w:name="page80"/>
    <w:bookmarkEnd w:id="79"/>
    <w:p>
      <w:pPr>
        <w:ind w:left="284" w:right="20" w:hanging="284"/>
        <w:spacing w:after="0" w:line="275" w:lineRule="auto"/>
        <w:tabs>
          <w:tab w:leader="none" w:pos="2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Business transformation initiatives consists of costs and expenses in connection with severance payments made to separate our employees for certain business transformation initiatives implemented during the year ended December 31, 2020.</w:t>
      </w:r>
    </w:p>
    <w:p>
      <w:pPr>
        <w:spacing w:after="0" w:line="80" w:lineRule="exact"/>
        <w:rPr>
          <w:rFonts w:ascii="Arial" w:cs="Arial" w:eastAsia="Arial" w:hAnsi="Arial"/>
          <w:sz w:val="16"/>
          <w:szCs w:val="16"/>
          <w:color w:val="auto"/>
        </w:rPr>
      </w:pPr>
    </w:p>
    <w:p>
      <w:pPr>
        <w:ind w:left="284" w:hanging="284"/>
        <w:spacing w:after="0" w:line="275" w:lineRule="auto"/>
        <w:tabs>
          <w:tab w:leader="none" w:pos="2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Foreign currency translation adjustments represent the reversal of exchange losses we recorded due to foreign currency translation of monetary balances of certain of our subsidiaries’ from U.S. dollars into the functional currency of those subsidiaries as of December 31, 2021 and 2020.</w:t>
      </w:r>
    </w:p>
    <w:p>
      <w:pPr>
        <w:spacing w:after="0" w:line="80" w:lineRule="exact"/>
        <w:rPr>
          <w:rFonts w:ascii="Arial" w:cs="Arial" w:eastAsia="Arial" w:hAnsi="Arial"/>
          <w:sz w:val="16"/>
          <w:szCs w:val="16"/>
          <w:color w:val="auto"/>
        </w:rPr>
      </w:pPr>
    </w:p>
    <w:p>
      <w:pPr>
        <w:ind w:left="284" w:right="20" w:hanging="284"/>
        <w:spacing w:after="0" w:line="275" w:lineRule="auto"/>
        <w:tabs>
          <w:tab w:leader="none" w:pos="2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finance costs adjustments represent non-operating expenses we incurred, primarily including additional interests incurred due to the withholding tax obligations of certain financial institutions outside of Colombia.</w:t>
      </w:r>
    </w:p>
    <w:p>
      <w:pPr>
        <w:spacing w:after="0" w:line="80" w:lineRule="exact"/>
        <w:rPr>
          <w:rFonts w:ascii="Arial" w:cs="Arial" w:eastAsia="Arial" w:hAnsi="Arial"/>
          <w:sz w:val="16"/>
          <w:szCs w:val="16"/>
          <w:color w:val="auto"/>
        </w:rPr>
      </w:pPr>
    </w:p>
    <w:p>
      <w:pPr>
        <w:jc w:val="both"/>
        <w:ind w:left="284" w:hanging="284"/>
        <w:spacing w:after="0" w:line="297" w:lineRule="auto"/>
        <w:tabs>
          <w:tab w:leader="none" w:pos="284" w:val="left"/>
        </w:tabs>
        <w:numPr>
          <w:ilvl w:val="0"/>
          <w:numId w:val="31"/>
        </w:numPr>
        <w:rPr>
          <w:rFonts w:ascii="Arial" w:cs="Arial" w:eastAsia="Arial" w:hAnsi="Arial"/>
          <w:sz w:val="14"/>
          <w:szCs w:val="14"/>
          <w:color w:val="auto"/>
        </w:rPr>
      </w:pPr>
      <w:r>
        <w:rPr>
          <w:rFonts w:ascii="Arial" w:cs="Arial" w:eastAsia="Arial" w:hAnsi="Arial"/>
          <w:sz w:val="14"/>
          <w:szCs w:val="14"/>
          <w:color w:val="auto"/>
        </w:rPr>
        <w:t>Transactions expenses primarily include: (i) capital markets advisory fees of $4.5 million incurred in connection with the Business Combination, (ii) incremental audit fees of $2.7 million incurred in connection with the Business Combination, (iii) consulting, accounting and legal expenses of $0.4 million incurred in connection with the Business Combination, (iv) management bonuses of $0.7 million paid in connection with the closing of the Business Combination and the listing of the Company on the Nasdaq, (v) tail policy insurance costs incurred of $1.6 million in connection with the Business Combination, (vi) incremental director &amp; officer policy insurance costs incurred of $0.3 million in connection with the Business Combination, (vii) incurred audit fees of $0.2 million to comply with the Syndicated Loan requirements that will not be necessary in the future, and (viii) consulting and legal fees and expenses related to asset acquisitions and other transaction in the amount of $0.3 million.</w:t>
      </w:r>
    </w:p>
    <w:p>
      <w:pPr>
        <w:spacing w:after="0" w:line="71" w:lineRule="exact"/>
        <w:rPr>
          <w:rFonts w:ascii="Arial" w:cs="Arial" w:eastAsia="Arial" w:hAnsi="Arial"/>
          <w:sz w:val="14"/>
          <w:szCs w:val="14"/>
          <w:color w:val="auto"/>
        </w:rPr>
      </w:pPr>
    </w:p>
    <w:p>
      <w:pPr>
        <w:jc w:val="both"/>
        <w:ind w:left="284" w:hanging="284"/>
        <w:spacing w:after="0" w:line="262" w:lineRule="auto"/>
        <w:tabs>
          <w:tab w:leader="none" w:pos="2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Listing expense of $73.9 million associated with the deemed listing services received by Procaps from Union, which is the difference between the deemed costs of the Ordinary Shares issued by the Company to Union shareholders in connection with the Business Combination, in excess of the net assets obtained from Union, as required by IFRS 2 Share-based payments.</w:t>
      </w:r>
    </w:p>
    <w:p>
      <w:pPr>
        <w:spacing w:after="0" w:line="91" w:lineRule="exact"/>
        <w:rPr>
          <w:sz w:val="20"/>
          <w:szCs w:val="20"/>
          <w:color w:val="auto"/>
        </w:rPr>
      </w:pPr>
    </w:p>
    <w:p>
      <w:pPr>
        <w:ind w:left="564"/>
        <w:spacing w:after="0"/>
        <w:rPr>
          <w:sz w:val="20"/>
          <w:szCs w:val="20"/>
          <w:color w:val="auto"/>
        </w:rPr>
      </w:pPr>
      <w:r>
        <w:rPr>
          <w:rFonts w:ascii="Arial" w:cs="Arial" w:eastAsia="Arial" w:hAnsi="Arial"/>
          <w:sz w:val="15"/>
          <w:szCs w:val="15"/>
          <w:color w:val="auto"/>
        </w:rPr>
        <w:t>The following table provides a reconciliation from profit (loss) for the year to EBITDA and Adjusted EBITDA, and Adjusted EBITDA margins for the years ended</w:t>
      </w: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auto"/>
        </w:rPr>
        <w:t>December 31, 2020 and December 31 2019:</w:t>
      </w:r>
    </w:p>
    <w:p>
      <w:pPr>
        <w:spacing w:after="0" w:line="110"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5820" w:type="dxa"/>
            <w:vAlign w:val="bottom"/>
          </w:tcPr>
          <w:p>
            <w:pPr>
              <w:spacing w:after="0"/>
              <w:rPr>
                <w:sz w:val="16"/>
                <w:szCs w:val="16"/>
                <w:color w:val="auto"/>
              </w:rPr>
            </w:pPr>
          </w:p>
        </w:tc>
        <w:tc>
          <w:tcPr>
            <w:tcW w:w="27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For the year ended</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2"/>
        </w:trPr>
        <w:tc>
          <w:tcPr>
            <w:tcW w:w="5820" w:type="dxa"/>
            <w:vAlign w:val="bottom"/>
          </w:tcPr>
          <w:p>
            <w:pPr>
              <w:spacing w:after="0"/>
              <w:rPr>
                <w:sz w:val="18"/>
                <w:szCs w:val="18"/>
                <w:color w:val="auto"/>
              </w:rPr>
            </w:pPr>
          </w:p>
        </w:tc>
        <w:tc>
          <w:tcPr>
            <w:tcW w:w="1740" w:type="dxa"/>
            <w:vAlign w:val="bottom"/>
            <w:gridSpan w:val="3"/>
          </w:tcPr>
          <w:p>
            <w:pPr>
              <w:jc w:val="center"/>
              <w:ind w:left="700"/>
              <w:spacing w:after="0"/>
              <w:rPr>
                <w:sz w:val="20"/>
                <w:szCs w:val="20"/>
                <w:color w:val="auto"/>
              </w:rPr>
            </w:pPr>
            <w:r>
              <w:rPr>
                <w:rFonts w:ascii="Arial" w:cs="Arial" w:eastAsia="Arial" w:hAnsi="Arial"/>
                <w:sz w:val="16"/>
                <w:szCs w:val="16"/>
                <w:b w:val="1"/>
                <w:bCs w:val="1"/>
                <w:color w:val="auto"/>
                <w:w w:val="88"/>
              </w:rPr>
              <w:t>December 31</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Increase / (Decrease)</w:t>
            </w:r>
          </w:p>
        </w:tc>
      </w:tr>
      <w:tr>
        <w:trPr>
          <w:trHeight w:val="207"/>
        </w:trPr>
        <w:tc>
          <w:tcPr>
            <w:tcW w:w="58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2019</w:t>
            </w:r>
          </w:p>
        </w:tc>
        <w:tc>
          <w:tcPr>
            <w:tcW w:w="280" w:type="dxa"/>
            <w:vAlign w:val="bottom"/>
            <w:tcBorders>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 Change</w:t>
            </w:r>
          </w:p>
        </w:tc>
        <w:tc>
          <w:tcPr>
            <w:tcW w:w="9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98"/>
              </w:rPr>
              <w:t>% Change</w:t>
            </w:r>
          </w:p>
        </w:tc>
        <w:tc>
          <w:tcPr>
            <w:tcW w:w="220" w:type="dxa"/>
            <w:vAlign w:val="bottom"/>
          </w:tcPr>
          <w:p>
            <w:pPr>
              <w:spacing w:after="0"/>
              <w:rPr>
                <w:sz w:val="18"/>
                <w:szCs w:val="18"/>
                <w:color w:val="auto"/>
              </w:rPr>
            </w:pPr>
          </w:p>
        </w:tc>
      </w:tr>
      <w:tr>
        <w:trPr>
          <w:trHeight w:val="191"/>
        </w:trPr>
        <w:tc>
          <w:tcPr>
            <w:tcW w:w="5820" w:type="dxa"/>
            <w:vAlign w:val="bottom"/>
          </w:tcPr>
          <w:p>
            <w:pPr>
              <w:spacing w:after="0"/>
              <w:rPr>
                <w:sz w:val="16"/>
                <w:szCs w:val="16"/>
                <w:color w:val="auto"/>
              </w:rPr>
            </w:pPr>
          </w:p>
        </w:tc>
        <w:tc>
          <w:tcPr>
            <w:tcW w:w="4240" w:type="dxa"/>
            <w:vAlign w:val="bottom"/>
            <w:gridSpan w:val="8"/>
          </w:tcPr>
          <w:p>
            <w:pPr>
              <w:ind w:left="1060"/>
              <w:spacing w:after="0"/>
              <w:rPr>
                <w:sz w:val="20"/>
                <w:szCs w:val="20"/>
                <w:color w:val="auto"/>
              </w:rPr>
            </w:pPr>
            <w:r>
              <w:rPr>
                <w:rFonts w:ascii="Arial" w:cs="Arial" w:eastAsia="Arial" w:hAnsi="Arial"/>
                <w:sz w:val="16"/>
                <w:szCs w:val="16"/>
                <w:color w:val="auto"/>
                <w:w w:val="90"/>
              </w:rPr>
              <w:t>(in thousands of U.S. dollars except percentages)</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1"/>
        </w:trPr>
        <w:tc>
          <w:tcPr>
            <w:tcW w:w="5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for the year</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(10,447)</w:t>
            </w:r>
          </w:p>
        </w:tc>
        <w:tc>
          <w:tcPr>
            <w:tcW w:w="3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(17,013)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6,566</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(38.6)%</w:t>
            </w:r>
          </w:p>
        </w:tc>
      </w:tr>
      <w:tr>
        <w:trPr>
          <w:trHeight w:val="191"/>
        </w:trPr>
        <w:tc>
          <w:tcPr>
            <w:tcW w:w="5820" w:type="dxa"/>
            <w:vAlign w:val="bottom"/>
          </w:tcPr>
          <w:p>
            <w:pPr>
              <w:spacing w:after="0"/>
              <w:rPr>
                <w:sz w:val="20"/>
                <w:szCs w:val="20"/>
                <w:color w:val="auto"/>
              </w:rPr>
            </w:pPr>
            <w:r>
              <w:rPr>
                <w:rFonts w:ascii="Arial" w:cs="Arial" w:eastAsia="Arial" w:hAnsi="Arial"/>
                <w:sz w:val="16"/>
                <w:szCs w:val="16"/>
                <w:color w:val="auto"/>
              </w:rPr>
              <w:t>Interest expense, net</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54,489</w:t>
            </w:r>
          </w:p>
        </w:tc>
        <w:tc>
          <w:tcPr>
            <w:tcW w:w="34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42,983</w:t>
            </w:r>
          </w:p>
        </w:tc>
        <w:tc>
          <w:tcPr>
            <w:tcW w:w="1120" w:type="dxa"/>
            <w:vAlign w:val="bottom"/>
          </w:tcPr>
          <w:p>
            <w:pPr>
              <w:jc w:val="right"/>
              <w:spacing w:after="0"/>
              <w:rPr>
                <w:sz w:val="20"/>
                <w:szCs w:val="20"/>
                <w:color w:val="auto"/>
              </w:rPr>
            </w:pPr>
            <w:r>
              <w:rPr>
                <w:rFonts w:ascii="Arial" w:cs="Arial" w:eastAsia="Arial" w:hAnsi="Arial"/>
                <w:sz w:val="16"/>
                <w:szCs w:val="16"/>
                <w:color w:val="auto"/>
              </w:rPr>
              <w:t>11,506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26.8%</w:t>
            </w:r>
          </w:p>
        </w:tc>
      </w:tr>
      <w:tr>
        <w:trPr>
          <w:trHeight w:val="191"/>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11,296</w:t>
            </w:r>
          </w:p>
        </w:tc>
        <w:tc>
          <w:tcPr>
            <w:tcW w:w="3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7,035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4,261</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60.6%</w:t>
            </w:r>
          </w:p>
        </w:tc>
      </w:tr>
      <w:tr>
        <w:trPr>
          <w:trHeight w:val="207"/>
        </w:trPr>
        <w:tc>
          <w:tcPr>
            <w:tcW w:w="5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16,477</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16,466</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11"/>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EBITDA</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71,815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49,471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r>
      <w:tr>
        <w:trPr>
          <w:trHeight w:val="199"/>
        </w:trPr>
        <w:tc>
          <w:tcPr>
            <w:tcW w:w="5820" w:type="dxa"/>
            <w:vAlign w:val="bottom"/>
          </w:tcPr>
          <w:p>
            <w:pPr>
              <w:spacing w:after="0" w:line="199" w:lineRule="exact"/>
              <w:rPr>
                <w:sz w:val="20"/>
                <w:szCs w:val="20"/>
                <w:color w:val="auto"/>
              </w:rPr>
            </w:pPr>
            <w:r>
              <w:rPr>
                <w:rFonts w:ascii="Arial" w:cs="Arial" w:eastAsia="Arial" w:hAnsi="Arial"/>
                <w:sz w:val="14"/>
                <w:szCs w:val="14"/>
                <w:color w:val="auto"/>
              </w:rPr>
              <w:t xml:space="preserve">COVID-19 impact adjustments </w:t>
            </w:r>
            <w:r>
              <w:rPr>
                <w:rFonts w:ascii="Arial" w:cs="Arial" w:eastAsia="Arial" w:hAnsi="Arial"/>
                <w:sz w:val="23"/>
                <w:szCs w:val="23"/>
                <w:color w:val="auto"/>
                <w:vertAlign w:val="superscript"/>
              </w:rPr>
              <w:t>(1)</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5,180</w:t>
            </w:r>
          </w:p>
        </w:tc>
        <w:tc>
          <w:tcPr>
            <w:tcW w:w="34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5,180</w:t>
            </w:r>
          </w:p>
        </w:tc>
        <w:tc>
          <w:tcPr>
            <w:tcW w:w="1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27"/>
        </w:trPr>
        <w:tc>
          <w:tcPr>
            <w:tcW w:w="58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Business transformation initiatives </w:t>
            </w:r>
            <w:r>
              <w:rPr>
                <w:rFonts w:ascii="Arial" w:cs="Arial" w:eastAsia="Arial" w:hAnsi="Arial"/>
                <w:sz w:val="26"/>
                <w:szCs w:val="26"/>
                <w:color w:val="auto"/>
                <w:vertAlign w:val="superscript"/>
              </w:rPr>
              <w:t>(2)</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1,723</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676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1,047</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154.9%</w:t>
            </w:r>
          </w:p>
        </w:tc>
      </w:tr>
      <w:tr>
        <w:trPr>
          <w:trHeight w:val="227"/>
        </w:trPr>
        <w:tc>
          <w:tcPr>
            <w:tcW w:w="5820" w:type="dxa"/>
            <w:vAlign w:val="bottom"/>
          </w:tcPr>
          <w:p>
            <w:pPr>
              <w:spacing w:after="0" w:line="227" w:lineRule="exact"/>
              <w:rPr>
                <w:sz w:val="20"/>
                <w:szCs w:val="20"/>
                <w:color w:val="auto"/>
              </w:rPr>
            </w:pPr>
            <w:r>
              <w:rPr>
                <w:rFonts w:ascii="Arial" w:cs="Arial" w:eastAsia="Arial" w:hAnsi="Arial"/>
                <w:sz w:val="16"/>
                <w:szCs w:val="16"/>
                <w:color w:val="auto"/>
              </w:rPr>
              <w:t xml:space="preserve">Foreign currency translation adjustments </w:t>
            </w:r>
            <w:r>
              <w:rPr>
                <w:rFonts w:ascii="Arial" w:cs="Arial" w:eastAsia="Arial" w:hAnsi="Arial"/>
                <w:sz w:val="26"/>
                <w:szCs w:val="26"/>
                <w:color w:val="auto"/>
                <w:vertAlign w:val="superscript"/>
              </w:rPr>
              <w:t>(3)</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3,905</w:t>
            </w:r>
          </w:p>
        </w:tc>
        <w:tc>
          <w:tcPr>
            <w:tcW w:w="3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1,827</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2,078</w:t>
            </w: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113.7%</w:t>
            </w:r>
          </w:p>
        </w:tc>
      </w:tr>
      <w:tr>
        <w:trPr>
          <w:trHeight w:val="227"/>
        </w:trPr>
        <w:tc>
          <w:tcPr>
            <w:tcW w:w="58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Other finance costs adjustments </w:t>
            </w:r>
            <w:r>
              <w:rPr>
                <w:rFonts w:ascii="Arial" w:cs="Arial" w:eastAsia="Arial" w:hAnsi="Arial"/>
                <w:sz w:val="26"/>
                <w:szCs w:val="26"/>
                <w:color w:val="auto"/>
                <w:vertAlign w:val="superscript"/>
              </w:rPr>
              <w:t>(4)</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1,996</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1,883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113</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43"/>
        </w:trPr>
        <w:tc>
          <w:tcPr>
            <w:tcW w:w="5820" w:type="dxa"/>
            <w:vAlign w:val="bottom"/>
          </w:tcPr>
          <w:p>
            <w:pPr>
              <w:spacing w:after="0" w:line="238" w:lineRule="exact"/>
              <w:rPr>
                <w:sz w:val="20"/>
                <w:szCs w:val="20"/>
                <w:color w:val="auto"/>
              </w:rPr>
            </w:pPr>
            <w:r>
              <w:rPr>
                <w:rFonts w:ascii="Arial" w:cs="Arial" w:eastAsia="Arial" w:hAnsi="Arial"/>
                <w:sz w:val="16"/>
                <w:szCs w:val="16"/>
                <w:color w:val="auto"/>
              </w:rPr>
              <w:t xml:space="preserve">Colombia VAT tax reform </w:t>
            </w:r>
            <w:r>
              <w:rPr>
                <w:rFonts w:ascii="Arial" w:cs="Arial" w:eastAsia="Arial" w:hAnsi="Arial"/>
                <w:sz w:val="26"/>
                <w:szCs w:val="26"/>
                <w:color w:val="auto"/>
                <w:vertAlign w:val="superscript"/>
              </w:rPr>
              <w:t>(5)</w:t>
            </w:r>
          </w:p>
        </w:tc>
        <w:tc>
          <w:tcPr>
            <w:tcW w:w="17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5,279</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(5,279)</w:t>
            </w:r>
          </w:p>
        </w:tc>
        <w:tc>
          <w:tcPr>
            <w:tcW w:w="1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11"/>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Adjusted EBITDA</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84,619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59,136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r>
      <w:tr>
        <w:trPr>
          <w:trHeight w:val="179"/>
        </w:trPr>
        <w:tc>
          <w:tcPr>
            <w:tcW w:w="582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Constant Currency Adjustments</w:t>
            </w: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8,836</w:t>
            </w:r>
          </w:p>
        </w:tc>
        <w:tc>
          <w:tcPr>
            <w:tcW w:w="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8,836</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100</w:t>
            </w:r>
          </w:p>
        </w:tc>
        <w:tc>
          <w:tcPr>
            <w:tcW w:w="22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w:t>
            </w:r>
          </w:p>
        </w:tc>
      </w:tr>
      <w:tr>
        <w:trPr>
          <w:trHeight w:val="195"/>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Adjusted EBITDA on Constant Currency Basis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93,455</w:t>
            </w:r>
          </w:p>
        </w:tc>
        <w:tc>
          <w:tcPr>
            <w:tcW w:w="2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59,136</w:t>
            </w:r>
          </w:p>
        </w:tc>
        <w:tc>
          <w:tcPr>
            <w:tcW w:w="2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34,319</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58.0</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r>
      <w:tr>
        <w:trPr>
          <w:trHeight w:val="191"/>
        </w:trPr>
        <w:tc>
          <w:tcPr>
            <w:tcW w:w="5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1"/>
        </w:trPr>
        <w:tc>
          <w:tcPr>
            <w:tcW w:w="5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 EBITDA margin</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25.5%</w:t>
            </w:r>
          </w:p>
        </w:tc>
        <w:tc>
          <w:tcPr>
            <w:tcW w:w="3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18.2%</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7.3%</w:t>
            </w:r>
          </w:p>
        </w:tc>
      </w:tr>
      <w:tr>
        <w:trPr>
          <w:trHeight w:val="208"/>
        </w:trPr>
        <w:tc>
          <w:tcPr>
            <w:tcW w:w="5820" w:type="dxa"/>
            <w:vAlign w:val="bottom"/>
          </w:tcPr>
          <w:p>
            <w:pPr>
              <w:spacing w:after="0"/>
              <w:rPr>
                <w:sz w:val="20"/>
                <w:szCs w:val="20"/>
                <w:color w:val="auto"/>
              </w:rPr>
            </w:pPr>
            <w:r>
              <w:rPr>
                <w:rFonts w:ascii="Arial" w:cs="Arial" w:eastAsia="Arial" w:hAnsi="Arial"/>
                <w:sz w:val="16"/>
                <w:szCs w:val="16"/>
                <w:b w:val="1"/>
                <w:bCs w:val="1"/>
                <w:color w:val="auto"/>
              </w:rPr>
              <w:t>Adjusted EBITDA margin (on Constant Currency Basis)</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25.7%</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90" w:lineRule="exact"/>
        <w:rPr>
          <w:sz w:val="20"/>
          <w:szCs w:val="20"/>
          <w:color w:val="auto"/>
        </w:rPr>
      </w:pPr>
    </w:p>
    <w:p>
      <w:pPr>
        <w:jc w:val="both"/>
        <w:ind w:left="284" w:hanging="284"/>
        <w:spacing w:after="0" w:line="270" w:lineRule="auto"/>
        <w:tabs>
          <w:tab w:leader="none" w:pos="284"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COVID-19 impact adjustments primarily include: (i) $0.5 million expenses incurred for safety pre-cautions during the pandemic, such as office and production infrastructure adaptation to practice social distancing, to maintain a safe work and production environment for the employees, (ii) $1.2 million operating and production expenses incurred in connection with hiring of additional employees and costs paid to third party agencies for such hiring, contractors and production sub-contractors in order to mitigate any decrease in our production and operating capabilities as a result of employees absenteeism or attrition as a result of the COVID-19 pandemic, (iii) $0.9 million expense incurred for certain logistic arrangements to minimize our employees’ exposure to COVID-19 through arranging transportation from home to work, lodgings, face masks and PPE, (iv) $1.4 million additional costs incurred to acquire certain raw materials that are essential to production due to the lockdowns of suppliers’ factories and ports of entry worldwide, and additional logistic costs due to delays, (v) $0.9 million expenses of certain one-off financial discounts that we provided to our customers, such as medicine distributors, during the COVID-19 pandemic due to financial and liquidity difficulties and customers’ inability to settle invoices as a result of the effects of the COVID-19 pandemic and governmental restrictions such as lockdowns, and (vi) $0.2 million of other miscellaneous expenses resulted from COVID-19 pandemic.</w:t>
      </w:r>
    </w:p>
    <w:p>
      <w:pPr>
        <w:spacing w:after="0" w:line="28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80" w:name="page81"/>
    <w:bookmarkEnd w:id="80"/>
    <w:p>
      <w:pPr>
        <w:ind w:left="284" w:right="20" w:hanging="284"/>
        <w:spacing w:after="0" w:line="275" w:lineRule="auto"/>
        <w:tabs>
          <w:tab w:leader="none" w:pos="284" w:val="left"/>
        </w:tabs>
        <w:numPr>
          <w:ilvl w:val="0"/>
          <w:numId w:val="33"/>
        </w:numPr>
        <w:rPr>
          <w:rFonts w:ascii="Arial" w:cs="Arial" w:eastAsia="Arial" w:hAnsi="Arial"/>
          <w:sz w:val="16"/>
          <w:szCs w:val="16"/>
          <w:color w:val="auto"/>
        </w:rPr>
      </w:pPr>
      <w:r>
        <w:rPr>
          <w:rFonts w:ascii="Arial" w:cs="Arial" w:eastAsia="Arial" w:hAnsi="Arial"/>
          <w:sz w:val="16"/>
          <w:szCs w:val="16"/>
          <w:color w:val="auto"/>
        </w:rPr>
        <w:t>Business transformation initiatives consists of costs and expenses in connection with severance payments made to separate our employees for certain business transformation initiatives implemented during the years ended December 31, 2020 and 2019.</w:t>
      </w:r>
    </w:p>
    <w:p>
      <w:pPr>
        <w:spacing w:after="0" w:line="151" w:lineRule="exact"/>
        <w:rPr>
          <w:rFonts w:ascii="Arial" w:cs="Arial" w:eastAsia="Arial" w:hAnsi="Arial"/>
          <w:sz w:val="16"/>
          <w:szCs w:val="16"/>
          <w:color w:val="auto"/>
        </w:rPr>
      </w:pPr>
    </w:p>
    <w:p>
      <w:pPr>
        <w:ind w:left="284" w:hanging="284"/>
        <w:spacing w:after="0" w:line="275" w:lineRule="auto"/>
        <w:tabs>
          <w:tab w:leader="none" w:pos="284"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Foreign currency translation adjustments represent the reversal of exchange losses we recorded due to foreign currency translation of monetary balances of certain of our subsidiaries from U.S. dollars into the functional currency of those subsidiaries as of December 31, 2020 and 2019.</w:t>
      </w:r>
    </w:p>
    <w:p>
      <w:pPr>
        <w:spacing w:after="0" w:line="151" w:lineRule="exact"/>
        <w:rPr>
          <w:rFonts w:ascii="Arial" w:cs="Arial" w:eastAsia="Arial" w:hAnsi="Arial"/>
          <w:sz w:val="16"/>
          <w:szCs w:val="16"/>
          <w:color w:val="auto"/>
        </w:rPr>
      </w:pPr>
    </w:p>
    <w:p>
      <w:pPr>
        <w:ind w:left="284" w:right="20" w:hanging="284"/>
        <w:spacing w:after="0" w:line="275" w:lineRule="auto"/>
        <w:tabs>
          <w:tab w:leader="none" w:pos="284"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finance costs adjustments represent non-operating expenses we incurred, primarily including additional interests incurred due to the withholding tax obligations of certain financial institutions outside of Colombia.</w:t>
      </w:r>
    </w:p>
    <w:p>
      <w:pPr>
        <w:spacing w:after="0" w:line="151" w:lineRule="exact"/>
        <w:rPr>
          <w:rFonts w:ascii="Arial" w:cs="Arial" w:eastAsia="Arial" w:hAnsi="Arial"/>
          <w:sz w:val="16"/>
          <w:szCs w:val="16"/>
          <w:color w:val="auto"/>
        </w:rPr>
      </w:pPr>
    </w:p>
    <w:p>
      <w:pPr>
        <w:ind w:left="284" w:right="20" w:hanging="284"/>
        <w:spacing w:after="0" w:line="309" w:lineRule="auto"/>
        <w:tabs>
          <w:tab w:leader="none" w:pos="284"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Colombian government implemented a tax reform in 2019 to exempt value-added tax (“VAT”) from the purchase and sale of drugs within Colombia starting in 2020. The impact from the Colombian tax reform consists of the VAT tax expense due to drug sales incurred in 2019 and that will not occur going forward.</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Contribution Margin</w:t>
      </w:r>
    </w:p>
    <w:p>
      <w:pPr>
        <w:spacing w:after="0" w:line="198"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We define Contribution Margin as gross profit less selling expenses. Contribution Margin is one of the key performance indicators we use in evaluating our profitability. We believe Contribution Margin is useful to investors in the evaluating our operating performance compared to other companies in the pharmaceutical industry, as similar measures are commonly used by companies in this industry.</w:t>
      </w:r>
    </w:p>
    <w:p>
      <w:pPr>
        <w:spacing w:after="0" w:line="16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following table provides a reconciliation from gross profit to Contribution Margin for the years ended December 31, 2021 and 2020.</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5980" w:type="dxa"/>
            <w:vAlign w:val="bottom"/>
          </w:tcPr>
          <w:p>
            <w:pPr>
              <w:spacing w:after="0"/>
              <w:rPr>
                <w:sz w:val="16"/>
                <w:szCs w:val="16"/>
                <w:color w:val="auto"/>
              </w:rPr>
            </w:pPr>
          </w:p>
        </w:tc>
        <w:tc>
          <w:tcPr>
            <w:tcW w:w="26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For the year ended</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2"/>
        </w:trPr>
        <w:tc>
          <w:tcPr>
            <w:tcW w:w="5980" w:type="dxa"/>
            <w:vAlign w:val="bottom"/>
          </w:tcPr>
          <w:p>
            <w:pPr>
              <w:spacing w:after="0"/>
              <w:rPr>
                <w:sz w:val="18"/>
                <w:szCs w:val="18"/>
                <w:color w:val="auto"/>
              </w:rPr>
            </w:pPr>
          </w:p>
        </w:tc>
        <w:tc>
          <w:tcPr>
            <w:tcW w:w="1700" w:type="dxa"/>
            <w:vAlign w:val="bottom"/>
            <w:gridSpan w:val="3"/>
          </w:tcPr>
          <w:p>
            <w:pPr>
              <w:jc w:val="center"/>
              <w:ind w:left="660"/>
              <w:spacing w:after="0"/>
              <w:rPr>
                <w:sz w:val="20"/>
                <w:szCs w:val="20"/>
                <w:color w:val="auto"/>
              </w:rPr>
            </w:pPr>
            <w:r>
              <w:rPr>
                <w:rFonts w:ascii="Arial" w:cs="Arial" w:eastAsia="Arial" w:hAnsi="Arial"/>
                <w:sz w:val="16"/>
                <w:szCs w:val="16"/>
                <w:b w:val="1"/>
                <w:bCs w:val="1"/>
                <w:color w:val="auto"/>
                <w:w w:val="88"/>
              </w:rPr>
              <w:t>December 31</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Increase / (Decrease)</w:t>
            </w:r>
          </w:p>
        </w:tc>
      </w:tr>
      <w:tr>
        <w:trPr>
          <w:trHeight w:val="207"/>
        </w:trPr>
        <w:tc>
          <w:tcPr>
            <w:tcW w:w="59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2020</w:t>
            </w:r>
          </w:p>
        </w:tc>
        <w:tc>
          <w:tcPr>
            <w:tcW w:w="20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 Change</w:t>
            </w:r>
          </w:p>
        </w:tc>
        <w:tc>
          <w:tcPr>
            <w:tcW w:w="9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95"/>
              </w:rPr>
              <w:t>% Change</w:t>
            </w:r>
          </w:p>
        </w:tc>
        <w:tc>
          <w:tcPr>
            <w:tcW w:w="180" w:type="dxa"/>
            <w:vAlign w:val="bottom"/>
          </w:tcPr>
          <w:p>
            <w:pPr>
              <w:spacing w:after="0"/>
              <w:rPr>
                <w:sz w:val="18"/>
                <w:szCs w:val="18"/>
                <w:color w:val="auto"/>
              </w:rPr>
            </w:pPr>
          </w:p>
        </w:tc>
      </w:tr>
      <w:tr>
        <w:trPr>
          <w:trHeight w:val="191"/>
        </w:trPr>
        <w:tc>
          <w:tcPr>
            <w:tcW w:w="5980" w:type="dxa"/>
            <w:vAlign w:val="bottom"/>
          </w:tcPr>
          <w:p>
            <w:pPr>
              <w:spacing w:after="0"/>
              <w:rPr>
                <w:sz w:val="16"/>
                <w:szCs w:val="16"/>
                <w:color w:val="auto"/>
              </w:rPr>
            </w:pPr>
          </w:p>
        </w:tc>
        <w:tc>
          <w:tcPr>
            <w:tcW w:w="4160" w:type="dxa"/>
            <w:vAlign w:val="bottom"/>
            <w:gridSpan w:val="8"/>
          </w:tcPr>
          <w:p>
            <w:pPr>
              <w:ind w:left="980"/>
              <w:spacing w:after="0"/>
              <w:rPr>
                <w:sz w:val="20"/>
                <w:szCs w:val="20"/>
                <w:color w:val="auto"/>
              </w:rPr>
            </w:pPr>
            <w:r>
              <w:rPr>
                <w:rFonts w:ascii="Arial" w:cs="Arial" w:eastAsia="Arial" w:hAnsi="Arial"/>
                <w:sz w:val="16"/>
                <w:szCs w:val="16"/>
                <w:i w:val="1"/>
                <w:iCs w:val="1"/>
                <w:color w:val="auto"/>
                <w:w w:val="90"/>
              </w:rPr>
              <w:t>(in thousands of U.S. dollars except percentages)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235,713</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191,314</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44,399</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Selling Expenses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(83,057)</w:t>
            </w:r>
          </w:p>
        </w:tc>
        <w:tc>
          <w:tcPr>
            <w:tcW w:w="3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(69,629)</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(13,428)</w:t>
            </w:r>
          </w:p>
        </w:tc>
        <w:tc>
          <w:tcPr>
            <w:tcW w:w="16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19.3%</w:t>
            </w: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Contribution Margin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152,656</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121,685</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30,971</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25.5%</w:t>
            </w: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Constant Currency Adjustments</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1,600</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1,600</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Contribution Margin (on Constant Currency Basis)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154,256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121,685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32,571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r>
    </w:tbl>
    <w:p>
      <w:pPr>
        <w:spacing w:after="0" w:line="179"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following table provides a reconciliation from gross profit to Contribution Margin for the years ended December 31, 2020 and December 31 2019.</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4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40" w:type="dxa"/>
            <w:vAlign w:val="bottom"/>
            <w:gridSpan w:val="3"/>
          </w:tcPr>
          <w:p>
            <w:pPr>
              <w:jc w:val="right"/>
              <w:ind w:right="800"/>
              <w:spacing w:after="0"/>
              <w:rPr>
                <w:sz w:val="20"/>
                <w:szCs w:val="20"/>
                <w:color w:val="auto"/>
              </w:rPr>
            </w:pPr>
            <w:r>
              <w:rPr>
                <w:rFonts w:ascii="Arial" w:cs="Arial" w:eastAsia="Arial" w:hAnsi="Arial"/>
                <w:sz w:val="16"/>
                <w:szCs w:val="16"/>
                <w:b w:val="1"/>
                <w:bCs w:val="1"/>
                <w:color w:val="auto"/>
              </w:rPr>
              <w:t>For the year ended</w:t>
            </w: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2"/>
        </w:trPr>
        <w:tc>
          <w:tcPr>
            <w:tcW w:w="4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3"/>
          </w:tcPr>
          <w:p>
            <w:pPr>
              <w:jc w:val="right"/>
              <w:ind w:right="760"/>
              <w:spacing w:after="0"/>
              <w:rPr>
                <w:sz w:val="20"/>
                <w:szCs w:val="20"/>
                <w:color w:val="auto"/>
              </w:rPr>
            </w:pPr>
            <w:r>
              <w:rPr>
                <w:rFonts w:ascii="Arial" w:cs="Arial" w:eastAsia="Arial" w:hAnsi="Arial"/>
                <w:sz w:val="16"/>
                <w:szCs w:val="16"/>
                <w:b w:val="1"/>
                <w:bCs w:val="1"/>
                <w:color w:val="auto"/>
              </w:rPr>
              <w:t>Increase/(Decrease)</w:t>
            </w:r>
          </w:p>
        </w:tc>
      </w:tr>
      <w:tr>
        <w:trPr>
          <w:trHeight w:val="207"/>
        </w:trPr>
        <w:tc>
          <w:tcPr>
            <w:tcW w:w="4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ind w:right="900"/>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w w:val="95"/>
              </w:rPr>
              <w:t>2019</w:t>
            </w:r>
          </w:p>
        </w:tc>
        <w:tc>
          <w:tcPr>
            <w:tcW w:w="22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 Change</w:t>
            </w:r>
          </w:p>
        </w:tc>
        <w:tc>
          <w:tcPr>
            <w:tcW w:w="94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93"/>
              </w:rPr>
              <w:t>% Change</w:t>
            </w:r>
          </w:p>
        </w:tc>
        <w:tc>
          <w:tcPr>
            <w:tcW w:w="200" w:type="dxa"/>
            <w:vAlign w:val="bottom"/>
          </w:tcPr>
          <w:p>
            <w:pPr>
              <w:spacing w:after="0"/>
              <w:rPr>
                <w:sz w:val="18"/>
                <w:szCs w:val="18"/>
                <w:color w:val="auto"/>
              </w:rPr>
            </w:pPr>
          </w:p>
        </w:tc>
      </w:tr>
      <w:tr>
        <w:trPr>
          <w:trHeight w:val="191"/>
        </w:trPr>
        <w:tc>
          <w:tcPr>
            <w:tcW w:w="4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140" w:type="dxa"/>
            <w:vAlign w:val="bottom"/>
            <w:gridSpan w:val="4"/>
          </w:tcPr>
          <w:p>
            <w:pPr>
              <w:jc w:val="right"/>
              <w:spacing w:after="0"/>
              <w:rPr>
                <w:sz w:val="20"/>
                <w:szCs w:val="20"/>
                <w:color w:val="auto"/>
              </w:rPr>
            </w:pPr>
            <w:r>
              <w:rPr>
                <w:rFonts w:ascii="Arial" w:cs="Arial" w:eastAsia="Arial" w:hAnsi="Arial"/>
                <w:sz w:val="16"/>
                <w:szCs w:val="16"/>
                <w:color w:val="auto"/>
              </w:rPr>
              <w:t>(in thousands of U.S. dollars except percentages)</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3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191,314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182,498</w:t>
            </w:r>
          </w:p>
        </w:tc>
        <w:tc>
          <w:tcPr>
            <w:tcW w:w="15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8,816</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w:t>
            </w:r>
          </w:p>
        </w:tc>
      </w:tr>
      <w:tr>
        <w:trPr>
          <w:trHeight w:val="191"/>
        </w:trPr>
        <w:tc>
          <w:tcPr>
            <w:tcW w:w="4520" w:type="dxa"/>
            <w:vAlign w:val="bottom"/>
          </w:tcPr>
          <w:p>
            <w:pPr>
              <w:spacing w:after="0"/>
              <w:rPr>
                <w:sz w:val="20"/>
                <w:szCs w:val="20"/>
                <w:color w:val="auto"/>
              </w:rPr>
            </w:pPr>
            <w:r>
              <w:rPr>
                <w:rFonts w:ascii="Arial" w:cs="Arial" w:eastAsia="Arial" w:hAnsi="Arial"/>
                <w:sz w:val="16"/>
                <w:szCs w:val="16"/>
                <w:color w:val="auto"/>
              </w:rPr>
              <w:t>Selling Expenses</w:t>
            </w:r>
          </w:p>
        </w:tc>
        <w:tc>
          <w:tcPr>
            <w:tcW w:w="3140" w:type="dxa"/>
            <w:vAlign w:val="bottom"/>
            <w:gridSpan w:val="2"/>
          </w:tcPr>
          <w:p>
            <w:pPr>
              <w:jc w:val="right"/>
              <w:ind w:right="440"/>
              <w:spacing w:after="0"/>
              <w:rPr>
                <w:sz w:val="20"/>
                <w:szCs w:val="20"/>
                <w:color w:val="auto"/>
              </w:rPr>
            </w:pPr>
            <w:r>
              <w:rPr>
                <w:rFonts w:ascii="Arial" w:cs="Arial" w:eastAsia="Arial" w:hAnsi="Arial"/>
                <w:sz w:val="16"/>
                <w:szCs w:val="16"/>
                <w:color w:val="auto"/>
              </w:rPr>
              <w:t>(69,629)</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(84,810)</w:t>
            </w:r>
          </w:p>
        </w:tc>
        <w:tc>
          <w:tcPr>
            <w:tcW w:w="1500" w:type="dxa"/>
            <w:vAlign w:val="bottom"/>
          </w:tcPr>
          <w:p>
            <w:pPr>
              <w:jc w:val="right"/>
              <w:ind w:right="300"/>
              <w:spacing w:after="0"/>
              <w:rPr>
                <w:sz w:val="20"/>
                <w:szCs w:val="20"/>
                <w:color w:val="auto"/>
              </w:rPr>
            </w:pPr>
            <w:r>
              <w:rPr>
                <w:rFonts w:ascii="Arial" w:cs="Arial" w:eastAsia="Arial" w:hAnsi="Arial"/>
                <w:sz w:val="16"/>
                <w:szCs w:val="16"/>
                <w:color w:val="auto"/>
              </w:rPr>
              <w:t>15,181</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(17.9)%</w:t>
            </w: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Contribution Margin</w:t>
            </w:r>
          </w:p>
        </w:tc>
        <w:tc>
          <w:tcPr>
            <w:tcW w:w="3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121,685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97,688</w:t>
            </w:r>
          </w:p>
        </w:tc>
        <w:tc>
          <w:tcPr>
            <w:tcW w:w="150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23,997</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24.6%</w:t>
            </w:r>
          </w:p>
        </w:tc>
      </w:tr>
      <w:tr>
        <w:trPr>
          <w:trHeight w:val="191"/>
        </w:trPr>
        <w:tc>
          <w:tcPr>
            <w:tcW w:w="4520" w:type="dxa"/>
            <w:vAlign w:val="bottom"/>
          </w:tcPr>
          <w:p>
            <w:pPr>
              <w:spacing w:after="0"/>
              <w:rPr>
                <w:sz w:val="20"/>
                <w:szCs w:val="20"/>
                <w:color w:val="auto"/>
              </w:rPr>
            </w:pPr>
            <w:r>
              <w:rPr>
                <w:rFonts w:ascii="Arial" w:cs="Arial" w:eastAsia="Arial" w:hAnsi="Arial"/>
                <w:sz w:val="16"/>
                <w:szCs w:val="16"/>
                <w:color w:val="auto"/>
              </w:rPr>
              <w:t>Constant Currency Adjustments</w:t>
            </w:r>
          </w:p>
        </w:tc>
        <w:tc>
          <w:tcPr>
            <w:tcW w:w="3140" w:type="dxa"/>
            <w:vAlign w:val="bottom"/>
            <w:gridSpan w:val="2"/>
          </w:tcPr>
          <w:p>
            <w:pPr>
              <w:jc w:val="right"/>
              <w:ind w:right="500"/>
              <w:spacing w:after="0"/>
              <w:rPr>
                <w:sz w:val="20"/>
                <w:szCs w:val="20"/>
                <w:color w:val="auto"/>
              </w:rPr>
            </w:pPr>
            <w:r>
              <w:rPr>
                <w:rFonts w:ascii="Arial" w:cs="Arial" w:eastAsia="Arial" w:hAnsi="Arial"/>
                <w:sz w:val="16"/>
                <w:szCs w:val="16"/>
                <w:color w:val="auto"/>
              </w:rPr>
              <w:t>12,900</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00"/>
              <w:spacing w:after="0"/>
              <w:rPr>
                <w:sz w:val="20"/>
                <w:szCs w:val="20"/>
                <w:color w:val="auto"/>
              </w:rPr>
            </w:pPr>
            <w:r>
              <w:rPr>
                <w:rFonts w:ascii="Arial" w:cs="Arial" w:eastAsia="Arial" w:hAnsi="Arial"/>
                <w:sz w:val="16"/>
                <w:szCs w:val="16"/>
                <w:color w:val="auto"/>
              </w:rPr>
              <w:t>12,900</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Contribution Margin (on Constant Currency Basis)</w:t>
            </w:r>
          </w:p>
        </w:tc>
        <w:tc>
          <w:tcPr>
            <w:tcW w:w="3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134,585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97,688</w:t>
            </w:r>
          </w:p>
        </w:tc>
        <w:tc>
          <w:tcPr>
            <w:tcW w:w="150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36,897</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37.8%</w:t>
            </w:r>
          </w:p>
        </w:tc>
      </w:tr>
      <w:tr>
        <w:trPr>
          <w:trHeight w:val="577"/>
        </w:trPr>
        <w:tc>
          <w:tcPr>
            <w:tcW w:w="45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69</w:t>
            </w:r>
          </w:p>
        </w:tc>
        <w:tc>
          <w:tcPr>
            <w:tcW w:w="1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796" w:right="319" w:bottom="1440" w:gutter="0" w:footer="0" w:header="0"/>
        </w:sectPr>
      </w:pPr>
    </w:p>
    <w:bookmarkStart w:id="81" w:name="page82"/>
    <w:bookmarkEnd w:id="81"/>
    <w:p>
      <w:pPr>
        <w:ind w:left="4"/>
        <w:spacing w:after="0"/>
        <w:rPr>
          <w:sz w:val="20"/>
          <w:szCs w:val="20"/>
          <w:color w:val="auto"/>
        </w:rPr>
      </w:pPr>
      <w:r>
        <w:rPr>
          <w:rFonts w:ascii="Arial" w:cs="Arial" w:eastAsia="Arial" w:hAnsi="Arial"/>
          <w:sz w:val="16"/>
          <w:szCs w:val="16"/>
          <w:b w:val="1"/>
          <w:bCs w:val="1"/>
          <w:color w:val="auto"/>
        </w:rPr>
        <w:t>B. LIQUIDITY AND CAPITAL RESOURCES</w:t>
      </w:r>
    </w:p>
    <w:p>
      <w:pPr>
        <w:spacing w:after="0" w:line="202"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Our principal source of liquidity has been cash flow generated from operations, supplemented by credit arrangements with third parties. The principal uses of cash are to fund operating and capital expenditures, business or asset acquisitions, interest payments on debt, any mandatory or discretionary principal payment on our debt and investments in R&amp;D.</w:t>
      </w:r>
    </w:p>
    <w:p>
      <w:pPr>
        <w:spacing w:after="0" w:line="162"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color w:val="auto"/>
        </w:rPr>
        <w:t>As of December 31, 2021, our cash and cash equivalents amounted to $72.1 million. The Business Combination was consummated on September 29, 2021, resulting in gross cash proceeds of $160.0 million, (comprised of $100.0 million gross proceeds from the PIPE investment and $60.0 million cash in trust), which was offset by the cash payment for the redemption of 4.5 million Redeemable B Shares for a total purchase price of $45.0 million, the payment of certain transaction expenses of $33.6 million. Our cash and cash equivalents were approximately $91.6 million higher immediately following the Closing of the Business Combination. We expect our capital expenditures to substantially increase in the near future as we seek to execute our strategic objectives, including the possibility of expanding our businesses into new markets and making strategic investments and acquisitions.</w:t>
      </w:r>
    </w:p>
    <w:p>
      <w:pPr>
        <w:spacing w:after="0" w:line="170" w:lineRule="exact"/>
        <w:rPr>
          <w:sz w:val="20"/>
          <w:szCs w:val="20"/>
          <w:color w:val="auto"/>
        </w:rPr>
      </w:pPr>
    </w:p>
    <w:p>
      <w:pPr>
        <w:jc w:val="both"/>
        <w:ind w:left="4" w:firstLine="574"/>
        <w:spacing w:after="0" w:line="276" w:lineRule="auto"/>
        <w:rPr>
          <w:sz w:val="20"/>
          <w:szCs w:val="20"/>
          <w:color w:val="auto"/>
        </w:rPr>
      </w:pPr>
      <w:r>
        <w:rPr>
          <w:rFonts w:ascii="Arial" w:cs="Arial" w:eastAsia="Arial" w:hAnsi="Arial"/>
          <w:sz w:val="15"/>
          <w:szCs w:val="15"/>
          <w:color w:val="auto"/>
        </w:rPr>
        <w:t>We believe that our existing cash and cash equivalents, cash inflows from operations, current uncommitted lines of credit and the net proceeds to us from the Business Combination will be adequate to meet our anticipated cash needs for the next twelve months and that the net proceeds from the Business Combination will provide us with additional financial flexibility to execute our strategic objectives. We routinely monitor current and expected operational requirements and financial market conditions to evaluate other available financing sources including term and revolving bank credit. In determining our future capital requirements, we regularly consider, among other factors, known trends and uncertainties, such as the current COVID-19 pandemic, and other contingencies.</w:t>
      </w:r>
    </w:p>
    <w:p>
      <w:pPr>
        <w:spacing w:after="0" w:line="155" w:lineRule="exact"/>
        <w:rPr>
          <w:sz w:val="20"/>
          <w:szCs w:val="20"/>
          <w:color w:val="auto"/>
        </w:rPr>
      </w:pPr>
    </w:p>
    <w:p>
      <w:pPr>
        <w:jc w:val="both"/>
        <w:ind w:left="4" w:firstLine="574"/>
        <w:spacing w:after="0" w:line="294" w:lineRule="auto"/>
        <w:rPr>
          <w:sz w:val="20"/>
          <w:szCs w:val="20"/>
          <w:color w:val="auto"/>
        </w:rPr>
      </w:pPr>
      <w:r>
        <w:rPr>
          <w:rFonts w:ascii="Arial" w:cs="Arial" w:eastAsia="Arial" w:hAnsi="Arial"/>
          <w:sz w:val="14"/>
          <w:szCs w:val="14"/>
          <w:color w:val="auto"/>
        </w:rPr>
        <w:t>Our ability to generate cash is subject to our performance, general economic conditions, industry trends and other factors. To the extent that the funds received from the Business Combination, combined with existing cash and cash equivalents are insufficient to fund our future activities and requirements, we may need to raise additional funds through public or private equity or debt financing. Although certain of our lenders have made commitments to make funds available to us in a timely fashion under our revolving credit agreements and overdraft facilities, if economic conditions worsen, including due to current geopolitical issues, or new information becomes publicly available impacting the institutions’ credit rating or capital ratios, these lenders may be unable or unwilling to lend money pursuant to our existing credit facilities. Should our outlook on liquidity requirements change substantially from current projections, we may seek additional sources of liquidity in the future. If we issue equity securities in order to raise additional funds, substantial dilution to existing shareholders may occur. If we raise cash through the issuance of indebtedness, we may be subject to additional contractual restrictions on our business. We cannot assure the investor that we would be able to raise additional funds on favorable terms or at all.</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Cash Flow for the years ended December 31, 2021 and 2020</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following table summarizes our consolidated statements of cash flows from operations for the years ended December 31, 2021 and 2020:</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7160" w:type="dxa"/>
            <w:vAlign w:val="bottom"/>
          </w:tcPr>
          <w:p>
            <w:pPr>
              <w:spacing w:after="0"/>
              <w:rPr>
                <w:sz w:val="16"/>
                <w:szCs w:val="16"/>
                <w:color w:val="auto"/>
              </w:rPr>
            </w:pPr>
          </w:p>
        </w:tc>
        <w:tc>
          <w:tcPr>
            <w:tcW w:w="2580" w:type="dxa"/>
            <w:vAlign w:val="bottom"/>
            <w:gridSpan w:val="4"/>
          </w:tcPr>
          <w:p>
            <w:pPr>
              <w:jc w:val="right"/>
              <w:ind w:right="700"/>
              <w:spacing w:after="0"/>
              <w:rPr>
                <w:sz w:val="20"/>
                <w:szCs w:val="20"/>
                <w:color w:val="auto"/>
              </w:rPr>
            </w:pPr>
            <w:r>
              <w:rPr>
                <w:rFonts w:ascii="Arial" w:cs="Arial" w:eastAsia="Arial" w:hAnsi="Arial"/>
                <w:sz w:val="16"/>
                <w:szCs w:val="16"/>
                <w:b w:val="1"/>
                <w:bCs w:val="1"/>
                <w:color w:val="auto"/>
              </w:rPr>
              <w:t>For the Year Ended</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7160" w:type="dxa"/>
            <w:vAlign w:val="bottom"/>
          </w:tcPr>
          <w:p>
            <w:pPr>
              <w:spacing w:after="0"/>
              <w:rPr>
                <w:sz w:val="18"/>
                <w:szCs w:val="18"/>
                <w:color w:val="auto"/>
              </w:rPr>
            </w:pPr>
          </w:p>
        </w:tc>
        <w:tc>
          <w:tcPr>
            <w:tcW w:w="2580" w:type="dxa"/>
            <w:vAlign w:val="bottom"/>
            <w:gridSpan w:val="4"/>
          </w:tcPr>
          <w:p>
            <w:pPr>
              <w:jc w:val="right"/>
              <w:ind w:right="900"/>
              <w:spacing w:after="0"/>
              <w:rPr>
                <w:sz w:val="20"/>
                <w:szCs w:val="20"/>
                <w:color w:val="auto"/>
              </w:rPr>
            </w:pPr>
            <w:r>
              <w:rPr>
                <w:rFonts w:ascii="Arial" w:cs="Arial" w:eastAsia="Arial" w:hAnsi="Arial"/>
                <w:sz w:val="16"/>
                <w:szCs w:val="16"/>
                <w:b w:val="1"/>
                <w:bCs w:val="1"/>
                <w:color w:val="auto"/>
              </w:rPr>
              <w:t>December 31,</w:t>
            </w:r>
          </w:p>
        </w:tc>
        <w:tc>
          <w:tcPr>
            <w:tcW w:w="152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w w:val="91"/>
              </w:rPr>
              <w:t>Increase/(Decrease)</w:t>
            </w:r>
          </w:p>
        </w:tc>
      </w:tr>
      <w:tr>
        <w:trPr>
          <w:trHeight w:val="178"/>
        </w:trPr>
        <w:tc>
          <w:tcPr>
            <w:tcW w:w="71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20"/>
              <w:spacing w:after="0" w:line="178" w:lineRule="exact"/>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7160" w:type="dxa"/>
            <w:vAlign w:val="bottom"/>
          </w:tcPr>
          <w:p>
            <w:pPr>
              <w:spacing w:after="0"/>
              <w:rPr>
                <w:sz w:val="21"/>
                <w:szCs w:val="21"/>
                <w:color w:val="auto"/>
              </w:rPr>
            </w:pPr>
          </w:p>
        </w:tc>
        <w:tc>
          <w:tcPr>
            <w:tcW w:w="112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21"/>
                <w:szCs w:val="21"/>
                <w:color w:val="auto"/>
              </w:rPr>
            </w:pPr>
          </w:p>
        </w:tc>
        <w:tc>
          <w:tcPr>
            <w:tcW w:w="1240" w:type="dxa"/>
            <w:vAlign w:val="bottom"/>
            <w:gridSpan w:val="2"/>
          </w:tcPr>
          <w:p>
            <w:pPr>
              <w:jc w:val="right"/>
              <w:ind w:right="200"/>
              <w:spacing w:after="0" w:line="240" w:lineRule="exact"/>
              <w:rPr>
                <w:sz w:val="20"/>
                <w:szCs w:val="20"/>
                <w:color w:val="auto"/>
              </w:rPr>
            </w:pPr>
            <w:r>
              <w:rPr>
                <w:rFonts w:ascii="Arial" w:cs="Arial" w:eastAsia="Arial" w:hAnsi="Arial"/>
                <w:sz w:val="16"/>
                <w:szCs w:val="16"/>
                <w:b w:val="1"/>
                <w:bCs w:val="1"/>
                <w:color w:val="auto"/>
                <w:w w:val="87"/>
              </w:rPr>
              <w:t>(as restated)</w:t>
            </w:r>
            <w:r>
              <w:rPr>
                <w:rFonts w:ascii="Arial" w:cs="Arial" w:eastAsia="Arial" w:hAnsi="Arial"/>
                <w:sz w:val="26"/>
                <w:szCs w:val="26"/>
                <w:b w:val="1"/>
                <w:bCs w:val="1"/>
                <w:color w:val="auto"/>
                <w:w w:val="87"/>
                <w:vertAlign w:val="superscript"/>
              </w:rPr>
              <w:t>(1)</w:t>
            </w:r>
          </w:p>
        </w:tc>
        <w:tc>
          <w:tcPr>
            <w:tcW w:w="80" w:type="dxa"/>
            <w:vAlign w:val="bottom"/>
          </w:tcPr>
          <w:p>
            <w:pPr>
              <w:spacing w:after="0"/>
              <w:rPr>
                <w:sz w:val="21"/>
                <w:szCs w:val="21"/>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 Change</w:t>
            </w:r>
          </w:p>
        </w:tc>
      </w:tr>
      <w:tr>
        <w:trPr>
          <w:trHeight w:val="191"/>
        </w:trPr>
        <w:tc>
          <w:tcPr>
            <w:tcW w:w="7160" w:type="dxa"/>
            <w:vAlign w:val="bottom"/>
          </w:tcPr>
          <w:p>
            <w:pPr>
              <w:spacing w:after="0"/>
              <w:rPr>
                <w:sz w:val="16"/>
                <w:szCs w:val="16"/>
                <w:color w:val="auto"/>
              </w:rPr>
            </w:pPr>
          </w:p>
        </w:tc>
        <w:tc>
          <w:tcPr>
            <w:tcW w:w="3980" w:type="dxa"/>
            <w:vAlign w:val="bottom"/>
            <w:tcBorders>
              <w:top w:val="single" w:sz="8" w:color="auto"/>
            </w:tcBorders>
            <w:gridSpan w:val="6"/>
          </w:tcPr>
          <w:p>
            <w:pPr>
              <w:jc w:val="right"/>
              <w:ind w:right="960"/>
              <w:spacing w:after="0"/>
              <w:rPr>
                <w:sz w:val="20"/>
                <w:szCs w:val="20"/>
                <w:color w:val="auto"/>
              </w:rPr>
            </w:pPr>
            <w:r>
              <w:rPr>
                <w:rFonts w:ascii="Arial" w:cs="Arial" w:eastAsia="Arial" w:hAnsi="Arial"/>
                <w:sz w:val="16"/>
                <w:szCs w:val="16"/>
                <w:i w:val="1"/>
                <w:iCs w:val="1"/>
                <w:color w:val="auto"/>
              </w:rPr>
              <w:t>(in thousands of U.S. dollars)</w:t>
            </w:r>
          </w:p>
        </w:tc>
        <w:tc>
          <w:tcPr>
            <w:tcW w:w="120" w:type="dxa"/>
            <w:vAlign w:val="bottom"/>
            <w:gridSpan w:val="2"/>
          </w:tcPr>
          <w:p>
            <w:pPr>
              <w:spacing w:after="0"/>
              <w:rPr>
                <w:sz w:val="16"/>
                <w:szCs w:val="16"/>
                <w:color w:val="auto"/>
              </w:rPr>
            </w:pPr>
          </w:p>
        </w:tc>
      </w:tr>
      <w:tr>
        <w:trPr>
          <w:trHeight w:val="191"/>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Cash flow provided by operating activities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37,303</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70,920</w:t>
            </w:r>
          </w:p>
        </w:tc>
        <w:tc>
          <w:tcPr>
            <w:tcW w:w="15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(33,617)</w:t>
            </w:r>
          </w:p>
        </w:tc>
      </w:tr>
      <w:tr>
        <w:trPr>
          <w:trHeight w:val="191"/>
        </w:trPr>
        <w:tc>
          <w:tcPr>
            <w:tcW w:w="7160" w:type="dxa"/>
            <w:vAlign w:val="bottom"/>
          </w:tcPr>
          <w:p>
            <w:pPr>
              <w:spacing w:after="0"/>
              <w:rPr>
                <w:sz w:val="20"/>
                <w:szCs w:val="20"/>
                <w:color w:val="auto"/>
              </w:rPr>
            </w:pPr>
            <w:r>
              <w:rPr>
                <w:rFonts w:ascii="Arial" w:cs="Arial" w:eastAsia="Arial" w:hAnsi="Arial"/>
                <w:sz w:val="16"/>
                <w:szCs w:val="16"/>
                <w:color w:val="auto"/>
              </w:rPr>
              <w:t>Cash flow used in investing activities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(23,703)</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(17,091)</w:t>
            </w:r>
          </w:p>
        </w:tc>
        <w:tc>
          <w:tcPr>
            <w:tcW w:w="1520" w:type="dxa"/>
            <w:vAlign w:val="bottom"/>
            <w:gridSpan w:val="4"/>
          </w:tcPr>
          <w:p>
            <w:pPr>
              <w:jc w:val="right"/>
              <w:ind w:right="60"/>
              <w:spacing w:after="0"/>
              <w:rPr>
                <w:sz w:val="20"/>
                <w:szCs w:val="20"/>
                <w:color w:val="auto"/>
              </w:rPr>
            </w:pPr>
            <w:r>
              <w:rPr>
                <w:rFonts w:ascii="Arial" w:cs="Arial" w:eastAsia="Arial" w:hAnsi="Arial"/>
                <w:sz w:val="16"/>
                <w:szCs w:val="16"/>
                <w:color w:val="auto"/>
              </w:rPr>
              <w:t>(6,612)</w:t>
            </w:r>
          </w:p>
        </w:tc>
      </w:tr>
      <w:tr>
        <w:trPr>
          <w:trHeight w:val="223"/>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Cash flow generated from (used in) financing activities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58,044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(40,509)</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98,553</w:t>
            </w:r>
          </w:p>
        </w:tc>
        <w:tc>
          <w:tcPr>
            <w:tcW w:w="100" w:type="dxa"/>
            <w:vAlign w:val="bottom"/>
            <w:shd w:val="clear" w:color="auto" w:fill="CCEEFF"/>
          </w:tcPr>
          <w:p>
            <w:pPr>
              <w:spacing w:after="0"/>
              <w:rPr>
                <w:sz w:val="19"/>
                <w:szCs w:val="19"/>
                <w:color w:val="auto"/>
              </w:rPr>
            </w:pPr>
          </w:p>
        </w:tc>
      </w:tr>
      <w:tr>
        <w:trPr>
          <w:trHeight w:val="179"/>
        </w:trPr>
        <w:tc>
          <w:tcPr>
            <w:tcW w:w="716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Net increase in cash</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71,644</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13,320</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58,324</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jc w:val="both"/>
        <w:ind w:left="284" w:right="20" w:hanging="284"/>
        <w:spacing w:after="0" w:line="295" w:lineRule="auto"/>
        <w:tabs>
          <w:tab w:leader="none" w:pos="284"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Comparative figures for the year ended December 31, 2020 were restated to reflect the revised classification of certain factoring and reverse factoring arrangements previously classified as part of </w:t>
      </w:r>
      <w:r>
        <w:rPr>
          <w:rFonts w:ascii="Arial" w:cs="Arial" w:eastAsia="Arial" w:hAnsi="Arial"/>
          <w:sz w:val="14"/>
          <w:szCs w:val="14"/>
          <w:i w:val="1"/>
          <w:iCs w:val="1"/>
          <w:color w:val="auto"/>
        </w:rPr>
        <w:t>Trade and other payables (current)</w:t>
      </w:r>
      <w:r>
        <w:rPr>
          <w:rFonts w:ascii="Arial" w:cs="Arial" w:eastAsia="Arial" w:hAnsi="Arial"/>
          <w:sz w:val="14"/>
          <w:szCs w:val="14"/>
          <w:color w:val="auto"/>
        </w:rPr>
        <w:t xml:space="preserve"> into </w:t>
      </w:r>
      <w:r>
        <w:rPr>
          <w:rFonts w:ascii="Arial" w:cs="Arial" w:eastAsia="Arial" w:hAnsi="Arial"/>
          <w:sz w:val="14"/>
          <w:szCs w:val="14"/>
          <w:i w:val="1"/>
          <w:iCs w:val="1"/>
          <w:color w:val="auto"/>
        </w:rPr>
        <w:t>Borrowings (current)</w:t>
      </w:r>
      <w:r>
        <w:rPr>
          <w:rFonts w:ascii="Arial" w:cs="Arial" w:eastAsia="Arial" w:hAnsi="Arial"/>
          <w:sz w:val="14"/>
          <w:szCs w:val="14"/>
          <w:color w:val="auto"/>
        </w:rPr>
        <w:t xml:space="preserve"> on “trade and other payables” and “payments on borrowings” in the statement of cash flows. Additionally, certain reclassifications have been made to the years ended December 31, 2020 statement of cash flows to conform to the current year’s presentation, which include the separate disclosure for payment of lease liabilities, reclassification of interest paid on lease liabilities to operating activities and presentation of cash flow to/from related parties regarding loans to such entities in investing activities, which had no impact on previously reported loss for the years and accumulated losses. For further information, see under the heading </w:t>
      </w:r>
      <w:r>
        <w:rPr>
          <w:rFonts w:ascii="Arial" w:cs="Arial" w:eastAsia="Arial" w:hAnsi="Arial"/>
          <w:sz w:val="14"/>
          <w:szCs w:val="14"/>
          <w:i w:val="1"/>
          <w:iCs w:val="1"/>
          <w:color w:val="auto"/>
        </w:rPr>
        <w:t>“Certain Conventions ––Restatement of Previously Issued Financial Statements”</w:t>
      </w:r>
      <w:r>
        <w:rPr>
          <w:rFonts w:ascii="Arial" w:cs="Arial" w:eastAsia="Arial" w:hAnsi="Arial"/>
          <w:sz w:val="14"/>
          <w:szCs w:val="14"/>
          <w:color w:val="auto"/>
        </w:rPr>
        <w:t xml:space="preserve"> in this annual report and Note 2.4 “Restatement of Previously Issued Financial Statements” to the Annual Audited Consolidated Financial Statements included elsewhere in this annual report.</w:t>
      </w: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82" w:name="page83"/>
    <w:bookmarkEnd w:id="82"/>
    <w:p>
      <w:pPr>
        <w:ind w:left="4"/>
        <w:spacing w:after="0"/>
        <w:rPr>
          <w:sz w:val="20"/>
          <w:szCs w:val="20"/>
          <w:color w:val="auto"/>
        </w:rPr>
      </w:pPr>
      <w:r>
        <w:rPr>
          <w:rFonts w:ascii="Arial" w:cs="Arial" w:eastAsia="Arial" w:hAnsi="Arial"/>
          <w:sz w:val="16"/>
          <w:szCs w:val="16"/>
          <w:i w:val="1"/>
          <w:iCs w:val="1"/>
          <w:color w:val="auto"/>
        </w:rPr>
        <w:t>Cash flow provided by operating activities</w:t>
      </w:r>
    </w:p>
    <w:p>
      <w:pPr>
        <w:spacing w:after="0" w:line="198"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5"/>
          <w:szCs w:val="15"/>
          <w:color w:val="auto"/>
        </w:rPr>
        <w:t>For the year ended December 31, 2021, net cash provided by operating activities was $37.3 million, compared to $70.9 million for the year ended December 31, 2020, a decrease of $33.6 million. The decrease was primarily the result of (i) an increase in trade receivables together with a reduction in the collectability of certain trade receivables between the periods, (ii) an increase inventory held as of December 31, 2021 compared to December 31, 2020 as a result of an increase in production in anticipation of an expected increase in demand, and (iii) a decrease in other liabilities due to the payment of certain aged payables that became due.</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Cash flow used in investing activities</w:t>
      </w:r>
    </w:p>
    <w:p>
      <w:pPr>
        <w:spacing w:after="0" w:line="198" w:lineRule="exact"/>
        <w:rPr>
          <w:sz w:val="20"/>
          <w:szCs w:val="20"/>
          <w:color w:val="auto"/>
        </w:rPr>
      </w:pPr>
    </w:p>
    <w:p>
      <w:pPr>
        <w:jc w:val="both"/>
        <w:ind w:left="4" w:right="20" w:firstLine="574"/>
        <w:spacing w:after="0" w:line="255" w:lineRule="auto"/>
        <w:rPr>
          <w:sz w:val="20"/>
          <w:szCs w:val="20"/>
          <w:color w:val="auto"/>
        </w:rPr>
      </w:pPr>
      <w:r>
        <w:rPr>
          <w:rFonts w:ascii="Arial" w:cs="Arial" w:eastAsia="Arial" w:hAnsi="Arial"/>
          <w:sz w:val="16"/>
          <w:szCs w:val="16"/>
          <w:color w:val="auto"/>
        </w:rPr>
        <w:t>For the year ended December 31, 2021, net cash used in investing activities was $23.7 million compared to $17.1 million during the year ended December 31, 2020, an increase of $6.6 million. Net cash used in investing activities for the year ended December 31, 2021 consisted primarily of $14.1 million in cash used in the acquisition of property, plant and equipment for certain strategic capacity expansion, including, the acquisition of an FDA approved 86,000 square feet pharmaceutical production facility located in West Palm Beach, Florida, which increased when compared to the year ended December 31, 2020. Furthermore, we invested $8.0 million in R&amp;D during the year ended December 31, 2021.</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Cash flow generated from (used in) financing activities</w:t>
      </w:r>
    </w:p>
    <w:p>
      <w:pPr>
        <w:spacing w:after="0" w:line="198" w:lineRule="exact"/>
        <w:rPr>
          <w:sz w:val="20"/>
          <w:szCs w:val="20"/>
          <w:color w:val="auto"/>
        </w:rPr>
      </w:pPr>
    </w:p>
    <w:p>
      <w:pPr>
        <w:jc w:val="both"/>
        <w:ind w:left="4" w:firstLine="574"/>
        <w:spacing w:after="0" w:line="274" w:lineRule="auto"/>
        <w:rPr>
          <w:sz w:val="20"/>
          <w:szCs w:val="20"/>
          <w:color w:val="auto"/>
        </w:rPr>
      </w:pPr>
      <w:r>
        <w:rPr>
          <w:rFonts w:ascii="Arial" w:cs="Arial" w:eastAsia="Arial" w:hAnsi="Arial"/>
          <w:sz w:val="15"/>
          <w:szCs w:val="15"/>
          <w:color w:val="auto"/>
        </w:rPr>
        <w:t>For the year ended December 31, 2021, net cash generated from financing activities increased by $98.6 million from net cash used in financing activities of $40.5 million for the year ended December 31, 2020 to net cash generated from financing activities of $58.0 million for the year ended December 31, 2021. The increase was primarily due to (i) the closing of the private placement of the Senior Notes in the amount of $112.9 million, (ii) entering into other term loans in the amount of $193.1 million, and (iii) the consummation of the Business Combination resulting in gross cash proceeds of $160.0 million as described above. The increase in net cash generated from financing activities was partially offset by (i) the prepayment of a portion of the Syndicated Loan facility (as defined below) in the amount of $28.2 million, (ii) the payment of other term loans in the amount of $224.4 million, and (iii) factoring obligations in the amount of $18.8 million.</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Cash Flow for the Year Ended December 31, 2020 Compared to Year Ended December 31, 2019</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5"/>
          <w:szCs w:val="15"/>
          <w:color w:val="auto"/>
        </w:rPr>
        <w:t>The following table summarizes our consolidated statements of cash flows from operations for the year ended December 31, 2020 compared with the year ended</w:t>
      </w: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auto"/>
        </w:rPr>
        <w:t>December 31, 2019:</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7160" w:type="dxa"/>
            <w:vAlign w:val="bottom"/>
          </w:tcPr>
          <w:p>
            <w:pPr>
              <w:spacing w:after="0"/>
              <w:rPr>
                <w:sz w:val="16"/>
                <w:szCs w:val="16"/>
                <w:color w:val="auto"/>
              </w:rPr>
            </w:pPr>
          </w:p>
        </w:tc>
        <w:tc>
          <w:tcPr>
            <w:tcW w:w="2580" w:type="dxa"/>
            <w:vAlign w:val="bottom"/>
            <w:gridSpan w:val="4"/>
          </w:tcPr>
          <w:p>
            <w:pPr>
              <w:jc w:val="right"/>
              <w:ind w:right="740"/>
              <w:spacing w:after="0"/>
              <w:rPr>
                <w:sz w:val="20"/>
                <w:szCs w:val="20"/>
                <w:color w:val="auto"/>
              </w:rPr>
            </w:pPr>
            <w:r>
              <w:rPr>
                <w:rFonts w:ascii="Arial" w:cs="Arial" w:eastAsia="Arial" w:hAnsi="Arial"/>
                <w:sz w:val="16"/>
                <w:szCs w:val="16"/>
                <w:b w:val="1"/>
                <w:bCs w:val="1"/>
                <w:color w:val="auto"/>
              </w:rPr>
              <w:t>For the year ended</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7160" w:type="dxa"/>
            <w:vAlign w:val="bottom"/>
          </w:tcPr>
          <w:p>
            <w:pPr>
              <w:spacing w:after="0"/>
              <w:rPr>
                <w:sz w:val="18"/>
                <w:szCs w:val="18"/>
                <w:color w:val="auto"/>
              </w:rPr>
            </w:pPr>
          </w:p>
        </w:tc>
        <w:tc>
          <w:tcPr>
            <w:tcW w:w="2580" w:type="dxa"/>
            <w:vAlign w:val="bottom"/>
            <w:gridSpan w:val="4"/>
          </w:tcPr>
          <w:p>
            <w:pPr>
              <w:jc w:val="right"/>
              <w:ind w:right="920"/>
              <w:spacing w:after="0"/>
              <w:rPr>
                <w:sz w:val="20"/>
                <w:szCs w:val="20"/>
                <w:color w:val="auto"/>
              </w:rPr>
            </w:pPr>
            <w:r>
              <w:rPr>
                <w:rFonts w:ascii="Arial" w:cs="Arial" w:eastAsia="Arial" w:hAnsi="Arial"/>
                <w:sz w:val="16"/>
                <w:szCs w:val="16"/>
                <w:b w:val="1"/>
                <w:bCs w:val="1"/>
                <w:color w:val="auto"/>
              </w:rPr>
              <w:t>December 31</w:t>
            </w:r>
          </w:p>
        </w:tc>
        <w:tc>
          <w:tcPr>
            <w:tcW w:w="152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w w:val="91"/>
              </w:rPr>
              <w:t>Increase/(Decrease)</w:t>
            </w:r>
          </w:p>
        </w:tc>
      </w:tr>
      <w:tr>
        <w:trPr>
          <w:trHeight w:val="178"/>
        </w:trPr>
        <w:tc>
          <w:tcPr>
            <w:tcW w:w="7160" w:type="dxa"/>
            <w:vAlign w:val="bottom"/>
          </w:tcPr>
          <w:p>
            <w:pPr>
              <w:spacing w:after="0"/>
              <w:rPr>
                <w:sz w:val="15"/>
                <w:szCs w:val="15"/>
                <w:color w:val="auto"/>
              </w:rPr>
            </w:pPr>
          </w:p>
        </w:tc>
        <w:tc>
          <w:tcPr>
            <w:tcW w:w="1120" w:type="dxa"/>
            <w:vAlign w:val="bottom"/>
            <w:tcBorders>
              <w:top w:val="single" w:sz="8" w:color="auto"/>
            </w:tcBorders>
          </w:tcPr>
          <w:p>
            <w:pPr>
              <w:jc w:val="right"/>
              <w:ind w:right="320"/>
              <w:spacing w:after="0" w:line="178" w:lineRule="exact"/>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40"/>
              <w:spacing w:after="0" w:line="178" w:lineRule="exact"/>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7160" w:type="dxa"/>
            <w:vAlign w:val="bottom"/>
          </w:tcPr>
          <w:p>
            <w:pPr>
              <w:spacing w:after="0"/>
              <w:rPr>
                <w:sz w:val="21"/>
                <w:szCs w:val="21"/>
                <w:color w:val="auto"/>
              </w:rPr>
            </w:pPr>
          </w:p>
        </w:tc>
        <w:tc>
          <w:tcPr>
            <w:tcW w:w="1340" w:type="dxa"/>
            <w:vAlign w:val="bottom"/>
            <w:gridSpan w:val="2"/>
          </w:tcPr>
          <w:p>
            <w:pPr>
              <w:jc w:val="right"/>
              <w:ind w:right="280"/>
              <w:spacing w:after="0" w:line="240" w:lineRule="exact"/>
              <w:rPr>
                <w:sz w:val="20"/>
                <w:szCs w:val="20"/>
                <w:color w:val="auto"/>
              </w:rPr>
            </w:pPr>
            <w:r>
              <w:rPr>
                <w:rFonts w:ascii="Arial" w:cs="Arial" w:eastAsia="Arial" w:hAnsi="Arial"/>
                <w:sz w:val="16"/>
                <w:szCs w:val="16"/>
                <w:b w:val="1"/>
                <w:bCs w:val="1"/>
                <w:color w:val="auto"/>
                <w:w w:val="89"/>
              </w:rPr>
              <w:t>(as restated)</w:t>
            </w:r>
            <w:r>
              <w:rPr>
                <w:rFonts w:ascii="Arial" w:cs="Arial" w:eastAsia="Arial" w:hAnsi="Arial"/>
                <w:sz w:val="26"/>
                <w:szCs w:val="26"/>
                <w:b w:val="1"/>
                <w:bCs w:val="1"/>
                <w:color w:val="auto"/>
                <w:w w:val="89"/>
                <w:vertAlign w:val="superscript"/>
              </w:rPr>
              <w:t>(1)</w:t>
            </w:r>
          </w:p>
        </w:tc>
        <w:tc>
          <w:tcPr>
            <w:tcW w:w="1240" w:type="dxa"/>
            <w:vAlign w:val="bottom"/>
            <w:gridSpan w:val="2"/>
          </w:tcPr>
          <w:p>
            <w:pPr>
              <w:jc w:val="right"/>
              <w:ind w:right="200"/>
              <w:spacing w:after="0" w:line="240" w:lineRule="exact"/>
              <w:rPr>
                <w:sz w:val="20"/>
                <w:szCs w:val="20"/>
                <w:color w:val="auto"/>
              </w:rPr>
            </w:pPr>
            <w:r>
              <w:rPr>
                <w:rFonts w:ascii="Arial" w:cs="Arial" w:eastAsia="Arial" w:hAnsi="Arial"/>
                <w:sz w:val="16"/>
                <w:szCs w:val="16"/>
                <w:b w:val="1"/>
                <w:bCs w:val="1"/>
                <w:color w:val="auto"/>
                <w:w w:val="87"/>
              </w:rPr>
              <w:t>(as restated)</w:t>
            </w:r>
            <w:r>
              <w:rPr>
                <w:rFonts w:ascii="Arial" w:cs="Arial" w:eastAsia="Arial" w:hAnsi="Arial"/>
                <w:sz w:val="26"/>
                <w:szCs w:val="26"/>
                <w:b w:val="1"/>
                <w:bCs w:val="1"/>
                <w:color w:val="auto"/>
                <w:w w:val="87"/>
                <w:vertAlign w:val="superscript"/>
              </w:rPr>
              <w:t>(1)</w:t>
            </w:r>
          </w:p>
        </w:tc>
        <w:tc>
          <w:tcPr>
            <w:tcW w:w="80" w:type="dxa"/>
            <w:vAlign w:val="bottom"/>
          </w:tcPr>
          <w:p>
            <w:pPr>
              <w:spacing w:after="0"/>
              <w:rPr>
                <w:sz w:val="21"/>
                <w:szCs w:val="21"/>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7160" w:type="dxa"/>
            <w:vAlign w:val="bottom"/>
          </w:tcPr>
          <w:p>
            <w:pPr>
              <w:spacing w:after="0"/>
              <w:rPr>
                <w:sz w:val="18"/>
                <w:szCs w:val="18"/>
                <w:color w:val="auto"/>
              </w:rPr>
            </w:pPr>
          </w:p>
        </w:tc>
        <w:tc>
          <w:tcPr>
            <w:tcW w:w="3980" w:type="dxa"/>
            <w:vAlign w:val="bottom"/>
            <w:tcBorders>
              <w:top w:val="single" w:sz="8" w:color="auto"/>
            </w:tcBorders>
            <w:gridSpan w:val="6"/>
          </w:tcPr>
          <w:p>
            <w:pPr>
              <w:jc w:val="right"/>
              <w:ind w:right="960"/>
              <w:spacing w:after="0"/>
              <w:rPr>
                <w:sz w:val="20"/>
                <w:szCs w:val="20"/>
                <w:color w:val="auto"/>
              </w:rPr>
            </w:pPr>
            <w:r>
              <w:rPr>
                <w:rFonts w:ascii="Arial" w:cs="Arial" w:eastAsia="Arial" w:hAnsi="Arial"/>
                <w:sz w:val="16"/>
                <w:szCs w:val="16"/>
                <w:color w:val="auto"/>
              </w:rPr>
              <w:t>(in thousands of U.S. dollars)</w:t>
            </w:r>
          </w:p>
        </w:tc>
        <w:tc>
          <w:tcPr>
            <w:tcW w:w="120" w:type="dxa"/>
            <w:vAlign w:val="bottom"/>
            <w:gridSpan w:val="2"/>
          </w:tcPr>
          <w:p>
            <w:pPr>
              <w:spacing w:after="0"/>
              <w:rPr>
                <w:sz w:val="18"/>
                <w:szCs w:val="18"/>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Cash flow provided by operating activities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70,920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68,286</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2,634</w:t>
            </w:r>
          </w:p>
        </w:tc>
        <w:tc>
          <w:tcPr>
            <w:tcW w:w="100" w:type="dxa"/>
            <w:vAlign w:val="bottom"/>
            <w:shd w:val="clear" w:color="auto" w:fill="CCEEFF"/>
          </w:tcPr>
          <w:p>
            <w:pPr>
              <w:spacing w:after="0"/>
              <w:rPr>
                <w:sz w:val="17"/>
                <w:szCs w:val="17"/>
                <w:color w:val="auto"/>
              </w:rPr>
            </w:pPr>
          </w:p>
        </w:tc>
      </w:tr>
      <w:tr>
        <w:trPr>
          <w:trHeight w:val="191"/>
        </w:trPr>
        <w:tc>
          <w:tcPr>
            <w:tcW w:w="7160" w:type="dxa"/>
            <w:vAlign w:val="bottom"/>
          </w:tcPr>
          <w:p>
            <w:pPr>
              <w:spacing w:after="0"/>
              <w:rPr>
                <w:sz w:val="20"/>
                <w:szCs w:val="20"/>
                <w:color w:val="auto"/>
              </w:rPr>
            </w:pPr>
            <w:r>
              <w:rPr>
                <w:rFonts w:ascii="Arial" w:cs="Arial" w:eastAsia="Arial" w:hAnsi="Arial"/>
                <w:sz w:val="16"/>
                <w:szCs w:val="16"/>
                <w:color w:val="auto"/>
              </w:rPr>
              <w:t>Cash flow used in investing activities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(17,091)</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(12,069)</w:t>
            </w:r>
          </w:p>
        </w:tc>
        <w:tc>
          <w:tcPr>
            <w:tcW w:w="1520" w:type="dxa"/>
            <w:vAlign w:val="bottom"/>
            <w:gridSpan w:val="4"/>
          </w:tcPr>
          <w:p>
            <w:pPr>
              <w:jc w:val="right"/>
              <w:ind w:right="60"/>
              <w:spacing w:after="0"/>
              <w:rPr>
                <w:sz w:val="20"/>
                <w:szCs w:val="20"/>
                <w:color w:val="auto"/>
              </w:rPr>
            </w:pPr>
            <w:r>
              <w:rPr>
                <w:rFonts w:ascii="Arial" w:cs="Arial" w:eastAsia="Arial" w:hAnsi="Arial"/>
                <w:sz w:val="16"/>
                <w:szCs w:val="16"/>
                <w:color w:val="auto"/>
              </w:rPr>
              <w:t>(5,022)</w:t>
            </w:r>
          </w:p>
        </w:tc>
      </w:tr>
      <w:tr>
        <w:trPr>
          <w:trHeight w:val="223"/>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Cash flow used in financing activities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(40,509)</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(46,949)</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6,440</w:t>
            </w:r>
          </w:p>
        </w:tc>
        <w:tc>
          <w:tcPr>
            <w:tcW w:w="100" w:type="dxa"/>
            <w:vAlign w:val="bottom"/>
            <w:shd w:val="clear" w:color="auto" w:fill="CCEEFF"/>
          </w:tcPr>
          <w:p>
            <w:pPr>
              <w:spacing w:after="0"/>
              <w:rPr>
                <w:sz w:val="19"/>
                <w:szCs w:val="19"/>
                <w:color w:val="auto"/>
              </w:rPr>
            </w:pPr>
          </w:p>
        </w:tc>
      </w:tr>
      <w:tr>
        <w:trPr>
          <w:trHeight w:val="179"/>
        </w:trPr>
        <w:tc>
          <w:tcPr>
            <w:tcW w:w="716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Net increase in cash</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13,320</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9,268</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4,052</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jc w:val="both"/>
        <w:ind w:left="284" w:right="20" w:hanging="284"/>
        <w:spacing w:after="0" w:line="253" w:lineRule="auto"/>
        <w:tabs>
          <w:tab w:leader="none" w:pos="284"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Comparative figures for the years ended December 31, 2020 and 2019 were restated to reflect the revised classification of certain factoring and reverse factoring arrangements previously classified as part of </w:t>
      </w:r>
      <w:r>
        <w:rPr>
          <w:rFonts w:ascii="Arial" w:cs="Arial" w:eastAsia="Arial" w:hAnsi="Arial"/>
          <w:sz w:val="16"/>
          <w:szCs w:val="16"/>
          <w:i w:val="1"/>
          <w:iCs w:val="1"/>
          <w:color w:val="auto"/>
        </w:rPr>
        <w:t>Trade and other payables (current)</w:t>
      </w:r>
      <w:r>
        <w:rPr>
          <w:rFonts w:ascii="Arial" w:cs="Arial" w:eastAsia="Arial" w:hAnsi="Arial"/>
          <w:sz w:val="16"/>
          <w:szCs w:val="16"/>
          <w:color w:val="auto"/>
        </w:rPr>
        <w:t xml:space="preserve"> into </w:t>
      </w:r>
      <w:r>
        <w:rPr>
          <w:rFonts w:ascii="Arial" w:cs="Arial" w:eastAsia="Arial" w:hAnsi="Arial"/>
          <w:sz w:val="16"/>
          <w:szCs w:val="16"/>
          <w:i w:val="1"/>
          <w:iCs w:val="1"/>
          <w:color w:val="auto"/>
        </w:rPr>
        <w:t>Borrowings (current)</w:t>
      </w:r>
      <w:r>
        <w:rPr>
          <w:rFonts w:ascii="Arial" w:cs="Arial" w:eastAsia="Arial" w:hAnsi="Arial"/>
          <w:sz w:val="16"/>
          <w:szCs w:val="16"/>
          <w:color w:val="auto"/>
        </w:rPr>
        <w:t xml:space="preserve"> on “trade and other payables” and “payments on borrowings” in the statement of cash flows. Additionally, certain reclassifications have been made to the years ended December 31, 2020 and 2019 statement of cash flows to conform to the current year’s presentation, which include the separate disclosure for payment of lease liabilities, reclassification of interest paid on lease liabilities to operating activities and presentation of cash flow to/from related parties regarding loans to such entities in investing activities, which had no impact on previously reported loss for the years and accumulated losses. For further information, see under the heading “Certain Conventions ––Restatement of Previously Issued Financial Statements” in this annual report and Note 2.4 “Restatement of Previously Issued Financial Statements” to the Annual Audited Consolidated Financial Statements included elsewhere in this annual report.</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83" w:name="page84"/>
    <w:bookmarkEnd w:id="83"/>
    <w:p>
      <w:pPr>
        <w:spacing w:after="0"/>
        <w:rPr>
          <w:sz w:val="20"/>
          <w:szCs w:val="20"/>
          <w:color w:val="auto"/>
        </w:rPr>
      </w:pPr>
      <w:r>
        <w:rPr>
          <w:rFonts w:ascii="Arial" w:cs="Arial" w:eastAsia="Arial" w:hAnsi="Arial"/>
          <w:sz w:val="16"/>
          <w:szCs w:val="16"/>
          <w:i w:val="1"/>
          <w:iCs w:val="1"/>
          <w:color w:val="auto"/>
        </w:rPr>
        <w:t>Cash flows provided by operating activities</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For the year ended December 31, 2020, net cash provided by operating activities was $70.9 million compared to $68.3 million for the year ended December 31, 2019, an increase of $2.6 million. The increase was primarily the result of an increase in net income excluding non-cash expenses and gains of $29.5 million. This increase was partially offset by an increase in income tax paid for the year ended December 31, 2020 in the amount of $7.0 million.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used in investing activities</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For the year ended December 31, 2020, net cash used in investing activities was $17.1 million compared to $12.1 million during the year ended December 31, 2019. Net cash used in investing activities for the year ended December 31, 2020 consisted primarily of $7.7 million in cash used to acquire property, plant and equipment for certain strategic capacity expansion efforts. Furthermore, we invested $10.2 million in R&amp;D during the year ended December 31, 2020. Net cash used in investing activities increased by $5.0 million primarily as a result of the sale of certain intangible assets in the amount of $7.3 million for the year ended December 31, 2019, which did not occur for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used in financing activities</w:t>
      </w:r>
    </w:p>
    <w:p>
      <w:pPr>
        <w:spacing w:after="0" w:line="198"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For the year ended December 31, 2020, net cash used in financing activities increased by $6.4 million from $46.9 million for the year ended December 31, 2019 to $40.5 million for the year ended December 31, 2020. This increase was primarily driven by an increase in payments on borrowings by $2.2 million, from $118.4 million for the year ended December 31, 2019 to $120.6 million for the year ended December 31, 2020. Such increase in payments was driven by the expansion of reverse factoring activities in 2020. The increase in net cash used in financing activities was partially offset by an increase in proceeds from borrowings in the amount of $10.3 million and an increase in accessible working capital lines of credit from $96.4 million for the year ended December 31, 2019 to $106.7 million for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Resources</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capital structure consists of net debt (loans offset by cash and bank balances) and consolidated equity (comprised of issued and paid-in capital, reserves, retained earnings and non-controlling interests). We are not subject to any externally imposed capital requirement.</w:t>
      </w:r>
    </w:p>
    <w:p>
      <w:pPr>
        <w:spacing w:after="0" w:line="15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Our primary indebtedness consists of the outstanding balance of the Senior Notes and Syndicated Loan (defined below). The Senior Notes include certain covenants that obligate the borrower and guarantors thereunder to comply with a series of financial ratios, consisting of a debt to EBITDA ratio and EBITDA interest coverage ratio as described below under the heading “</w:t>
      </w:r>
      <w:r>
        <w:rPr>
          <w:rFonts w:ascii="Arial" w:cs="Arial" w:eastAsia="Arial" w:hAnsi="Arial"/>
          <w:sz w:val="16"/>
          <w:szCs w:val="16"/>
          <w:i w:val="1"/>
          <w:iCs w:val="1"/>
          <w:color w:val="auto"/>
        </w:rPr>
        <w:t>— Debt Financing and Borrowings — Senior Notes — Covenants</w:t>
      </w:r>
      <w:r>
        <w:rPr>
          <w:rFonts w:ascii="Arial" w:cs="Arial" w:eastAsia="Arial" w:hAnsi="Arial"/>
          <w:sz w:val="16"/>
          <w:szCs w:val="16"/>
          <w:color w:val="auto"/>
        </w:rPr>
        <w:t>”. The Syndicated Loan includes certain covenants that obligate the borrower and co-debtors thereunder to comply with a series of financial ratios, consisting of a debt to EBITDA ratio, short-term leverage ratio and EBITDA interest coverage ratio as described below under the heading “</w:t>
      </w:r>
      <w:r>
        <w:rPr>
          <w:rFonts w:ascii="Arial" w:cs="Arial" w:eastAsia="Arial" w:hAnsi="Arial"/>
          <w:sz w:val="16"/>
          <w:szCs w:val="16"/>
          <w:i w:val="1"/>
          <w:iCs w:val="1"/>
          <w:color w:val="auto"/>
        </w:rPr>
        <w:t>— Debt Financing and Borrowings — Syndicated Loan — Covenants</w:t>
      </w:r>
      <w:r>
        <w:rPr>
          <w:rFonts w:ascii="Arial" w:cs="Arial" w:eastAsia="Arial" w:hAnsi="Arial"/>
          <w:sz w:val="16"/>
          <w:szCs w:val="16"/>
          <w:color w:val="auto"/>
        </w:rPr>
        <w:t>”. These financial ratios serve as local management parameters for both arrangements.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analyze and review our capital structure on a quarterly basis. As part of this review, we consider the cost of capital and the risks associated with each class of</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capital.</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2021, 2020 and 2019 we had total borrowings of $253.4 million, $454.5 million and $420.4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Financing and Borrowings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summarizes our outstanding interest-bearing liabilities for year ended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For the Year</w:t>
            </w:r>
          </w:p>
        </w:tc>
      </w:tr>
      <w:tr>
        <w:trPr>
          <w:trHeight w:val="191"/>
        </w:trPr>
        <w:tc>
          <w:tcPr>
            <w:tcW w:w="38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Ended</w:t>
            </w:r>
          </w:p>
        </w:tc>
      </w:tr>
      <w:tr>
        <w:trPr>
          <w:trHeight w:val="191"/>
        </w:trPr>
        <w:tc>
          <w:tcPr>
            <w:tcW w:w="38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December 31,</w:t>
            </w:r>
          </w:p>
        </w:tc>
      </w:tr>
      <w:tr>
        <w:trPr>
          <w:trHeight w:val="212"/>
        </w:trPr>
        <w:tc>
          <w:tcPr>
            <w:tcW w:w="3840" w:type="dxa"/>
            <w:vAlign w:val="bottom"/>
          </w:tcPr>
          <w:p>
            <w:pPr>
              <w:spacing w:after="0"/>
              <w:rPr>
                <w:sz w:val="18"/>
                <w:szCs w:val="18"/>
                <w:color w:val="auto"/>
              </w:rPr>
            </w:pPr>
          </w:p>
        </w:tc>
        <w:tc>
          <w:tcPr>
            <w:tcW w:w="7300" w:type="dxa"/>
            <w:vAlign w:val="bottom"/>
            <w:gridSpan w:val="2"/>
          </w:tcPr>
          <w:p>
            <w:pPr>
              <w:jc w:val="center"/>
              <w:ind w:left="6100"/>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r>
      <w:tr>
        <w:trPr>
          <w:trHeight w:val="179"/>
        </w:trPr>
        <w:tc>
          <w:tcPr>
            <w:tcW w:w="38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w w:val="89"/>
              </w:rPr>
              <w:t>(in thousands of</w:t>
            </w:r>
          </w:p>
        </w:tc>
        <w:tc>
          <w:tcPr>
            <w:tcW w:w="120" w:type="dxa"/>
            <w:vAlign w:val="bottom"/>
          </w:tcPr>
          <w:p>
            <w:pPr>
              <w:spacing w:after="0"/>
              <w:rPr>
                <w:sz w:val="15"/>
                <w:szCs w:val="15"/>
                <w:color w:val="auto"/>
              </w:rPr>
            </w:pPr>
          </w:p>
        </w:tc>
      </w:tr>
      <w:tr>
        <w:trPr>
          <w:trHeight w:val="204"/>
        </w:trPr>
        <w:tc>
          <w:tcPr>
            <w:tcW w:w="384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U.S. dollars)</w:t>
            </w:r>
          </w:p>
        </w:tc>
      </w:tr>
      <w:tr>
        <w:trPr>
          <w:trHeight w:val="191"/>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Syndicated Loan</w:t>
            </w:r>
          </w:p>
        </w:tc>
        <w:tc>
          <w:tcPr>
            <w:tcW w:w="74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46,505</w:t>
            </w:r>
          </w:p>
        </w:tc>
      </w:tr>
      <w:tr>
        <w:trPr>
          <w:trHeight w:val="191"/>
        </w:trPr>
        <w:tc>
          <w:tcPr>
            <w:tcW w:w="3840" w:type="dxa"/>
            <w:vAlign w:val="bottom"/>
          </w:tcPr>
          <w:p>
            <w:pPr>
              <w:spacing w:after="0"/>
              <w:rPr>
                <w:sz w:val="20"/>
                <w:szCs w:val="20"/>
                <w:color w:val="auto"/>
              </w:rPr>
            </w:pPr>
            <w:r>
              <w:rPr>
                <w:rFonts w:ascii="Arial" w:cs="Arial" w:eastAsia="Arial" w:hAnsi="Arial"/>
                <w:sz w:val="16"/>
                <w:szCs w:val="16"/>
                <w:color w:val="auto"/>
              </w:rPr>
              <w:t>Other term loan</w:t>
            </w:r>
          </w:p>
        </w:tc>
        <w:tc>
          <w:tcPr>
            <w:tcW w:w="7420" w:type="dxa"/>
            <w:vAlign w:val="bottom"/>
            <w:gridSpan w:val="3"/>
          </w:tcPr>
          <w:p>
            <w:pPr>
              <w:jc w:val="right"/>
              <w:ind w:right="120"/>
              <w:spacing w:after="0"/>
              <w:rPr>
                <w:sz w:val="20"/>
                <w:szCs w:val="20"/>
                <w:color w:val="auto"/>
              </w:rPr>
            </w:pPr>
            <w:r>
              <w:rPr>
                <w:rFonts w:ascii="Arial" w:cs="Arial" w:eastAsia="Arial" w:hAnsi="Arial"/>
                <w:sz w:val="16"/>
                <w:szCs w:val="16"/>
                <w:color w:val="auto"/>
              </w:rPr>
              <w:t>51,593</w:t>
            </w:r>
          </w:p>
        </w:tc>
      </w:tr>
      <w:tr>
        <w:trPr>
          <w:trHeight w:val="191"/>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74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31,747</w:t>
            </w:r>
          </w:p>
        </w:tc>
      </w:tr>
      <w:tr>
        <w:trPr>
          <w:trHeight w:val="191"/>
        </w:trPr>
        <w:tc>
          <w:tcPr>
            <w:tcW w:w="3840" w:type="dxa"/>
            <w:vAlign w:val="bottom"/>
          </w:tcPr>
          <w:p>
            <w:pPr>
              <w:spacing w:after="0"/>
              <w:rPr>
                <w:sz w:val="20"/>
                <w:szCs w:val="20"/>
                <w:color w:val="auto"/>
              </w:rPr>
            </w:pPr>
            <w:r>
              <w:rPr>
                <w:rFonts w:ascii="Arial" w:cs="Arial" w:eastAsia="Arial" w:hAnsi="Arial"/>
                <w:sz w:val="16"/>
                <w:szCs w:val="16"/>
                <w:color w:val="auto"/>
              </w:rPr>
              <w:t>Factoring obligations</w:t>
            </w:r>
          </w:p>
        </w:tc>
        <w:tc>
          <w:tcPr>
            <w:tcW w:w="7420" w:type="dxa"/>
            <w:vAlign w:val="bottom"/>
            <w:gridSpan w:val="3"/>
          </w:tcPr>
          <w:p>
            <w:pPr>
              <w:jc w:val="right"/>
              <w:ind w:right="120"/>
              <w:spacing w:after="0"/>
              <w:rPr>
                <w:sz w:val="20"/>
                <w:szCs w:val="20"/>
                <w:color w:val="auto"/>
              </w:rPr>
            </w:pPr>
            <w:r>
              <w:rPr>
                <w:rFonts w:ascii="Arial" w:cs="Arial" w:eastAsia="Arial" w:hAnsi="Arial"/>
                <w:sz w:val="16"/>
                <w:szCs w:val="16"/>
                <w:color w:val="auto"/>
              </w:rPr>
              <w:t>10,609</w:t>
            </w:r>
          </w:p>
        </w:tc>
      </w:tr>
      <w:tr>
        <w:trPr>
          <w:trHeight w:val="191"/>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Put option agreements</w:t>
            </w:r>
          </w:p>
        </w:tc>
        <w:tc>
          <w:tcPr>
            <w:tcW w:w="6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3840" w:type="dxa"/>
            <w:vAlign w:val="bottom"/>
          </w:tcPr>
          <w:p>
            <w:pPr>
              <w:spacing w:after="0"/>
              <w:rPr>
                <w:sz w:val="20"/>
                <w:szCs w:val="20"/>
                <w:color w:val="auto"/>
              </w:rPr>
            </w:pPr>
            <w:r>
              <w:rPr>
                <w:rFonts w:ascii="Arial" w:cs="Arial" w:eastAsia="Arial" w:hAnsi="Arial"/>
                <w:sz w:val="16"/>
                <w:szCs w:val="16"/>
                <w:color w:val="auto"/>
              </w:rPr>
              <w:t>Bank overdrafts</w:t>
            </w:r>
          </w:p>
        </w:tc>
        <w:tc>
          <w:tcPr>
            <w:tcW w:w="730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6"/>
                <w:szCs w:val="16"/>
                <w:color w:val="auto"/>
              </w:rPr>
            </w:pPr>
          </w:p>
        </w:tc>
      </w:tr>
      <w:tr>
        <w:trPr>
          <w:trHeight w:val="223"/>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Senior Notes</w:t>
            </w:r>
          </w:p>
        </w:tc>
        <w:tc>
          <w:tcPr>
            <w:tcW w:w="74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112,857</w:t>
            </w:r>
          </w:p>
        </w:tc>
      </w:tr>
      <w:tr>
        <w:trPr>
          <w:trHeight w:val="179"/>
        </w:trPr>
        <w:tc>
          <w:tcPr>
            <w:tcW w:w="384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 Interest bearing liabilities</w:t>
            </w:r>
          </w:p>
        </w:tc>
        <w:tc>
          <w:tcPr>
            <w:tcW w:w="618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253,366</w:t>
            </w:r>
          </w:p>
        </w:tc>
        <w:tc>
          <w:tcPr>
            <w:tcW w:w="120" w:type="dxa"/>
            <w:vAlign w:val="bottom"/>
            <w:tcBorders>
              <w:top w:val="single" w:sz="8" w:color="CCEEFF"/>
            </w:tcBorders>
          </w:tcPr>
          <w:p>
            <w:pPr>
              <w:spacing w:after="0"/>
              <w:rPr>
                <w:sz w:val="15"/>
                <w:szCs w:val="15"/>
                <w:color w:val="auto"/>
              </w:rPr>
            </w:pPr>
          </w:p>
        </w:tc>
      </w:tr>
      <w:tr>
        <w:trPr>
          <w:trHeight w:val="577"/>
        </w:trPr>
        <w:tc>
          <w:tcPr>
            <w:tcW w:w="38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jc w:val="right"/>
              <w:ind w:right="4240"/>
              <w:spacing w:after="0"/>
              <w:rPr>
                <w:sz w:val="20"/>
                <w:szCs w:val="20"/>
                <w:color w:val="auto"/>
              </w:rPr>
            </w:pPr>
            <w:r>
              <w:rPr>
                <w:rFonts w:ascii="Arial" w:cs="Arial" w:eastAsia="Arial" w:hAnsi="Arial"/>
                <w:sz w:val="16"/>
                <w:szCs w:val="16"/>
                <w:color w:val="auto"/>
              </w:rPr>
              <w:t>72</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6" w:right="31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i w:val="1"/>
          <w:iCs w:val="1"/>
          <w:color w:val="auto"/>
        </w:rPr>
        <w:t>Syndicated Loan</w:t>
      </w:r>
    </w:p>
    <w:p>
      <w:pPr>
        <w:spacing w:after="0" w:line="198" w:lineRule="exact"/>
        <w:rPr>
          <w:sz w:val="20"/>
          <w:szCs w:val="20"/>
          <w:color w:val="auto"/>
        </w:rPr>
      </w:pPr>
    </w:p>
    <w:p>
      <w:pPr>
        <w:jc w:val="both"/>
        <w:ind w:firstLine="574"/>
        <w:spacing w:after="0" w:line="252" w:lineRule="auto"/>
        <w:rPr>
          <w:sz w:val="20"/>
          <w:szCs w:val="20"/>
          <w:color w:val="auto"/>
        </w:rPr>
      </w:pPr>
      <w:r>
        <w:rPr>
          <w:rFonts w:ascii="Arial" w:cs="Arial" w:eastAsia="Arial" w:hAnsi="Arial"/>
          <w:sz w:val="16"/>
          <w:szCs w:val="16"/>
          <w:color w:val="auto"/>
        </w:rPr>
        <w:t>On November 20, 2018, the following entities: (i) Procaps S.A., a subsidiary of the Company, as borrower; (ii) Laboratorios López S.A. de C.V., C.I. Procaps S.A., Biokemical S.A. de C.V., Pharmarketing Salvador S.A. de C.V., Corporación Distribuidora Internacional S.A. de C.V., CDI Nicaragua S.A., CDI Guatemala S.A., Pharmarketing S.A. (Guatemala), Pharmarketing S.A. (Panama), Pharmarketing Dominicana SRL, Pharmarketing Costa Rica S.A., Diabetrics S.A.S and Crynssen Pharma S.A.S., all of which are subsidiaries of the Company, as co-debtors; and (iii) Inversiones Crynseen S.A.S., Inversiones Ganeden S.A.S., Inversiones Henia S.A.S., Inversiones Jades S.A.S., Industrias Kadima S.A.S. and Pharmayect S.A all of which are subsidiaries of the Company, as guarantors; entered into that certain Loan Agreement (</w:t>
      </w:r>
      <w:r>
        <w:rPr>
          <w:rFonts w:ascii="Arial" w:cs="Arial" w:eastAsia="Arial" w:hAnsi="Arial"/>
          <w:sz w:val="16"/>
          <w:szCs w:val="16"/>
          <w:i w:val="1"/>
          <w:iCs w:val="1"/>
          <w:color w:val="auto"/>
        </w:rPr>
        <w:t>Contrato de</w:t>
      </w:r>
      <w:r>
        <w:rPr>
          <w:rFonts w:ascii="Arial" w:cs="Arial" w:eastAsia="Arial" w:hAnsi="Arial"/>
          <w:sz w:val="16"/>
          <w:szCs w:val="16"/>
          <w:color w:val="auto"/>
        </w:rPr>
        <w:t xml:space="preserve"> </w:t>
      </w:r>
      <w:r>
        <w:rPr>
          <w:rFonts w:ascii="Arial" w:cs="Arial" w:eastAsia="Arial" w:hAnsi="Arial"/>
          <w:sz w:val="16"/>
          <w:szCs w:val="16"/>
          <w:i w:val="1"/>
          <w:iCs w:val="1"/>
          <w:color w:val="auto"/>
        </w:rPr>
        <w:t>Crédito</w:t>
      </w:r>
      <w:r>
        <w:rPr>
          <w:rFonts w:ascii="Arial" w:cs="Arial" w:eastAsia="Arial" w:hAnsi="Arial"/>
          <w:sz w:val="16"/>
          <w:szCs w:val="16"/>
          <w:color w:val="auto"/>
        </w:rPr>
        <w:t>) with the following financial institutions: Bancolombia S.A., Bancolombia S.A. (Panama), Banco Davivienda S.A., Banco de Sabadell S.A. Miami Beach and Banco de</w:t>
      </w:r>
      <w:r>
        <w:rPr>
          <w:rFonts w:ascii="Arial" w:cs="Arial" w:eastAsia="Arial" w:hAnsi="Arial"/>
          <w:sz w:val="16"/>
          <w:szCs w:val="16"/>
          <w:i w:val="1"/>
          <w:iCs w:val="1"/>
          <w:color w:val="auto"/>
        </w:rPr>
        <w:t xml:space="preserve"> </w:t>
      </w:r>
      <w:r>
        <w:rPr>
          <w:rFonts w:ascii="Arial" w:cs="Arial" w:eastAsia="Arial" w:hAnsi="Arial"/>
          <w:sz w:val="16"/>
          <w:szCs w:val="16"/>
          <w:color w:val="auto"/>
        </w:rPr>
        <w:t>Crédito del Perú, as lenders, and Fiduciaria Bancolombia S.A., as administrative agent, which was subsequently amended by Amendment No. 1 to the Loan Agreement (</w:t>
      </w:r>
      <w:r>
        <w:rPr>
          <w:rFonts w:ascii="Arial" w:cs="Arial" w:eastAsia="Arial" w:hAnsi="Arial"/>
          <w:sz w:val="16"/>
          <w:szCs w:val="16"/>
          <w:i w:val="1"/>
          <w:iCs w:val="1"/>
          <w:color w:val="auto"/>
        </w:rPr>
        <w:t>Otrosí</w:t>
      </w:r>
      <w:r>
        <w:rPr>
          <w:rFonts w:ascii="Arial" w:cs="Arial" w:eastAsia="Arial" w:hAnsi="Arial"/>
          <w:sz w:val="16"/>
          <w:szCs w:val="16"/>
          <w:color w:val="auto"/>
        </w:rPr>
        <w:t xml:space="preserve"> </w:t>
      </w:r>
      <w:r>
        <w:rPr>
          <w:rFonts w:ascii="Arial" w:cs="Arial" w:eastAsia="Arial" w:hAnsi="Arial"/>
          <w:sz w:val="16"/>
          <w:szCs w:val="16"/>
          <w:i w:val="1"/>
          <w:iCs w:val="1"/>
          <w:color w:val="auto"/>
        </w:rPr>
        <w:t>No. 1 al Contrato de Crédito</w:t>
      </w:r>
      <w:r>
        <w:rPr>
          <w:rFonts w:ascii="Arial" w:cs="Arial" w:eastAsia="Arial" w:hAnsi="Arial"/>
          <w:sz w:val="16"/>
          <w:szCs w:val="16"/>
          <w:color w:val="auto"/>
        </w:rPr>
        <w:t>) dated December 12, 2018, and Amendment No. 2 to the Loan Agreement (</w:t>
      </w:r>
      <w:r>
        <w:rPr>
          <w:rFonts w:ascii="Arial" w:cs="Arial" w:eastAsia="Arial" w:hAnsi="Arial"/>
          <w:sz w:val="16"/>
          <w:szCs w:val="16"/>
          <w:i w:val="1"/>
          <w:iCs w:val="1"/>
          <w:color w:val="auto"/>
        </w:rPr>
        <w:t>Otrosí No. 2 al Contrato de Crédito</w:t>
      </w:r>
      <w:r>
        <w:rPr>
          <w:rFonts w:ascii="Arial" w:cs="Arial" w:eastAsia="Arial" w:hAnsi="Arial"/>
          <w:sz w:val="16"/>
          <w:szCs w:val="16"/>
          <w:color w:val="auto"/>
        </w:rPr>
        <w:t>) dated June 15, 2020 (collectively,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the “Syndicated Loan”).</w:t>
      </w:r>
    </w:p>
    <w:p>
      <w:pPr>
        <w:spacing w:after="0" w:line="173"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The Syndicated Loan is comprised of two tranches; tranche A, which is denominated in Colombian Pesos and tranche B, which is denominated in U.S. dollars. Pursuant to the terms of the Syndicated Loan, the borrower can borrow up to (i) COP $131,848,000,000 plus the equivalent of U.S. $21,100,000 in Colombian Pesos, calculated as of the disbursement date, under tranche A and (ii) U.S. $35,000,0000 in U.S. dollars under tranche B. The Syndicated Loan will mature on the seventh anniversary of the initial disbursement to the borrower and shall accrue interest at a rate of IBR (as defined below) plus a spread of 5.30% on the amounts owed under the Colombian Peso denominated tranche A and LIBOR (as defined below) plus a spread of 4.80% on the amounts owed under the U.S. dollar denominated tranche B. The proceeds of the Syndicated Loan are to be used for the pre-payment or refinancing of certain debt obligations of the borrower enumerated in the Syndicate Loan agreement.</w:t>
      </w:r>
    </w:p>
    <w:p>
      <w:pPr>
        <w:spacing w:after="0" w:line="143"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Effective as of November 12, 2021, the syndicated loans granted by Banco de Sabadell S.A. Miami Beach and Banco de Crédito del Perú, were paid in full and terminated with the proceeds from the Senior Notes. As of December 31, 2021, the total amount outstanding under the Syndicated Loan was U.S. $46.5 million, divided as follows: (i) $38.6 million (or COP $153,493.6 million) outstanding under tranche A, and (ii) $7.9 million outstanding under tranche B.</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Covenants</w:t>
      </w:r>
    </w:p>
    <w:p>
      <w:pPr>
        <w:spacing w:after="0" w:line="198"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 xml:space="preserve">The Syndicated Loan contains covenants that, among other things, restrict, subject to certain exceptions, the borrower and co-debtors’ ability to change its line of business; incur additional indebtedness resulting in a Debt/EBITDA Ratio (as defined below) above 3.0; enter into derivative transactions (except for those in connection with the purchase of raw materials or for the purpose of mitigating interest or exchange rate risks); sell or transfer title to operating assets; pay dividends and distributions; engage in mergers and consolidations; amend agreements material to the operations of the borrower and co-debtors; enter into any financial or operating lease obligation with an option to purchase in an aggregate amount of over COP $85,000,0000,0000 (approximately $24,763,292); change our fiscal year reporting; engage in certain transactions with affiliates; enter into any joint venture or similar agreements. For purposes of the Syndicated Loan, EBITDA is calculated as income from sales and services, </w:t>
      </w:r>
      <w:r>
        <w:rPr>
          <w:rFonts w:ascii="Arial" w:cs="Arial" w:eastAsia="Arial" w:hAnsi="Arial"/>
          <w:sz w:val="14"/>
          <w:szCs w:val="14"/>
          <w:i w:val="1"/>
          <w:iCs w:val="1"/>
          <w:color w:val="auto"/>
        </w:rPr>
        <w:t>less</w:t>
      </w:r>
      <w:r>
        <w:rPr>
          <w:rFonts w:ascii="Arial" w:cs="Arial" w:eastAsia="Arial" w:hAnsi="Arial"/>
          <w:sz w:val="14"/>
          <w:szCs w:val="14"/>
          <w:color w:val="auto"/>
        </w:rPr>
        <w:t xml:space="preserve"> (i) sales and production costs, </w:t>
      </w:r>
      <w:r>
        <w:rPr>
          <w:rFonts w:ascii="Arial" w:cs="Arial" w:eastAsia="Arial" w:hAnsi="Arial"/>
          <w:sz w:val="14"/>
          <w:szCs w:val="14"/>
          <w:i w:val="1"/>
          <w:iCs w:val="1"/>
          <w:color w:val="auto"/>
        </w:rPr>
        <w:t>less</w:t>
      </w:r>
      <w:r>
        <w:rPr>
          <w:rFonts w:ascii="Arial" w:cs="Arial" w:eastAsia="Arial" w:hAnsi="Arial"/>
          <w:sz w:val="14"/>
          <w:szCs w:val="14"/>
          <w:color w:val="auto"/>
        </w:rPr>
        <w:t xml:space="preserve"> (ii) operating expenses, </w:t>
      </w:r>
      <w:r>
        <w:rPr>
          <w:rFonts w:ascii="Arial" w:cs="Arial" w:eastAsia="Arial" w:hAnsi="Arial"/>
          <w:sz w:val="14"/>
          <w:szCs w:val="14"/>
          <w:i w:val="1"/>
          <w:iCs w:val="1"/>
          <w:color w:val="auto"/>
        </w:rPr>
        <w:t>less</w:t>
      </w:r>
      <w:r>
        <w:rPr>
          <w:rFonts w:ascii="Arial" w:cs="Arial" w:eastAsia="Arial" w:hAnsi="Arial"/>
          <w:sz w:val="14"/>
          <w:szCs w:val="14"/>
          <w:color w:val="auto"/>
        </w:rPr>
        <w:t xml:space="preserve"> (iii) administrative expenses, </w:t>
      </w:r>
      <w:r>
        <w:rPr>
          <w:rFonts w:ascii="Arial" w:cs="Arial" w:eastAsia="Arial" w:hAnsi="Arial"/>
          <w:sz w:val="14"/>
          <w:szCs w:val="14"/>
          <w:i w:val="1"/>
          <w:iCs w:val="1"/>
          <w:color w:val="auto"/>
        </w:rPr>
        <w:t>plus</w:t>
      </w:r>
      <w:r>
        <w:rPr>
          <w:rFonts w:ascii="Arial" w:cs="Arial" w:eastAsia="Arial" w:hAnsi="Arial"/>
          <w:sz w:val="14"/>
          <w:szCs w:val="14"/>
          <w:color w:val="auto"/>
        </w:rPr>
        <w:t xml:space="preserve"> (iv) depreciation, </w:t>
      </w:r>
      <w:r>
        <w:rPr>
          <w:rFonts w:ascii="Arial" w:cs="Arial" w:eastAsia="Arial" w:hAnsi="Arial"/>
          <w:sz w:val="14"/>
          <w:szCs w:val="14"/>
          <w:i w:val="1"/>
          <w:iCs w:val="1"/>
          <w:color w:val="auto"/>
        </w:rPr>
        <w:t>plus</w:t>
      </w:r>
      <w:r>
        <w:rPr>
          <w:rFonts w:ascii="Arial" w:cs="Arial" w:eastAsia="Arial" w:hAnsi="Arial"/>
          <w:sz w:val="14"/>
          <w:szCs w:val="14"/>
          <w:color w:val="auto"/>
        </w:rPr>
        <w:t xml:space="preserve"> (ii) amortizations, </w:t>
      </w:r>
      <w:r>
        <w:rPr>
          <w:rFonts w:ascii="Arial" w:cs="Arial" w:eastAsia="Arial" w:hAnsi="Arial"/>
          <w:sz w:val="14"/>
          <w:szCs w:val="14"/>
          <w:i w:val="1"/>
          <w:iCs w:val="1"/>
          <w:color w:val="auto"/>
        </w:rPr>
        <w:t>plus</w:t>
      </w:r>
      <w:r>
        <w:rPr>
          <w:rFonts w:ascii="Arial" w:cs="Arial" w:eastAsia="Arial" w:hAnsi="Arial"/>
          <w:sz w:val="14"/>
          <w:szCs w:val="14"/>
          <w:color w:val="auto"/>
        </w:rPr>
        <w:t xml:space="preserve"> (iii) provisions, and l</w:t>
      </w:r>
      <w:r>
        <w:rPr>
          <w:rFonts w:ascii="Arial" w:cs="Arial" w:eastAsia="Arial" w:hAnsi="Arial"/>
          <w:sz w:val="14"/>
          <w:szCs w:val="14"/>
          <w:i w:val="1"/>
          <w:iCs w:val="1"/>
          <w:color w:val="auto"/>
        </w:rPr>
        <w:t>ess</w:t>
      </w:r>
      <w:r>
        <w:rPr>
          <w:rFonts w:ascii="Arial" w:cs="Arial" w:eastAsia="Arial" w:hAnsi="Arial"/>
          <w:sz w:val="14"/>
          <w:szCs w:val="14"/>
          <w:color w:val="auto"/>
        </w:rPr>
        <w:t xml:space="preserve"> (iv) portfolio write-offs.</w:t>
      </w:r>
    </w:p>
    <w:p>
      <w:pPr>
        <w:spacing w:after="0" w:line="144"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The Syndicated Loan also contains change-of-control provisions and certain customary affirmative covenants and events of default. The Syndicated Loan also requires compliance with the following ratios: (i) a pro forma consolidated debt of the borrower and the co-debtors to pro forma consolidated EBITDA for the last twelve months of the borrower and co-debtors ratio (“Debt/EBITDA Ratio”) of 3.5 or less, measured every June 30 and December 30; (ii) a short-term leverage ratio (calculated as the pro forma consolidated short-term debt of the borrower and the co-debtors divided by pro forma consolidated EBITDA for the last twelve months of the borrower and co-debtors) of less than 1.0, calculated at the end of each semester; and (iii) an EBITDA interest coverage ratio (calculated as the pro forma consolidated EBITDA for the last twelve months of the borrower and co-debtors divided by the pro forma consolidated interest expenses of the borrower and the co-debtors) of greater than or equal to 3.0, calculated at the end of each semester.</w:t>
      </w:r>
    </w:p>
    <w:p>
      <w:pPr>
        <w:spacing w:after="0" w:line="17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continuously monitor our covenants obligations and requirements and, as of the date of the issuance of the Annual Audited Financial Statements, we were in compliance with the covenants of the Syndicated Loan.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4"/>
        </w:trPr>
        <w:tc>
          <w:tcPr>
            <w:tcW w:w="1260" w:type="dxa"/>
            <w:vAlign w:val="bottom"/>
            <w:gridSpan w:val="2"/>
          </w:tcPr>
          <w:p>
            <w:pPr>
              <w:spacing w:after="0"/>
              <w:rPr>
                <w:sz w:val="20"/>
                <w:szCs w:val="20"/>
                <w:color w:val="auto"/>
              </w:rPr>
            </w:pPr>
            <w:r>
              <w:rPr>
                <w:rFonts w:ascii="Arial" w:cs="Arial" w:eastAsia="Arial" w:hAnsi="Arial"/>
                <w:sz w:val="16"/>
                <w:szCs w:val="16"/>
                <w:b w:val="1"/>
                <w:bCs w:val="1"/>
                <w:i w:val="1"/>
                <w:iCs w:val="1"/>
                <w:color w:val="auto"/>
                <w:w w:val="89"/>
              </w:rPr>
              <w:t>Other Term Loans</w:t>
            </w:r>
          </w:p>
        </w:tc>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2"/>
        </w:trPr>
        <w:tc>
          <w:tcPr>
            <w:tcW w:w="8700" w:type="dxa"/>
            <w:vAlign w:val="bottom"/>
            <w:gridSpan w:val="4"/>
          </w:tcPr>
          <w:p>
            <w:pPr>
              <w:ind w:left="560"/>
              <w:spacing w:after="0"/>
              <w:rPr>
                <w:sz w:val="20"/>
                <w:szCs w:val="20"/>
                <w:color w:val="auto"/>
              </w:rPr>
            </w:pPr>
            <w:r>
              <w:rPr>
                <w:rFonts w:ascii="Arial" w:cs="Arial" w:eastAsia="Arial" w:hAnsi="Arial"/>
                <w:sz w:val="16"/>
                <w:szCs w:val="16"/>
                <w:color w:val="auto"/>
              </w:rPr>
              <w:t>The table below summarizes the terms of our other term loans as of December 31, 2021.</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6"/>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Outstanding</w:t>
            </w:r>
          </w:p>
        </w:tc>
      </w:tr>
      <w:tr>
        <w:trPr>
          <w:trHeight w:val="191"/>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Balance for</w:t>
            </w:r>
          </w:p>
        </w:tc>
      </w:tr>
      <w:tr>
        <w:trPr>
          <w:trHeight w:val="191"/>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the year</w:t>
            </w:r>
          </w:p>
        </w:tc>
      </w:tr>
      <w:tr>
        <w:trPr>
          <w:trHeight w:val="191"/>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r>
      <w:tr>
        <w:trPr>
          <w:trHeight w:val="191"/>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r>
      <w:tr>
        <w:trPr>
          <w:trHeight w:val="212"/>
        </w:trPr>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Currency</w:t>
            </w:r>
          </w:p>
        </w:tc>
        <w:tc>
          <w:tcPr>
            <w:tcW w:w="7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Range of Interest</w:t>
            </w: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Maturity Year</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Pr>
          <w:p>
            <w:pPr>
              <w:spacing w:after="0"/>
              <w:rPr>
                <w:sz w:val="18"/>
                <w:szCs w:val="18"/>
                <w:color w:val="auto"/>
              </w:rPr>
            </w:pPr>
          </w:p>
        </w:tc>
      </w:tr>
      <w:tr>
        <w:trPr>
          <w:trHeight w:val="179"/>
        </w:trPr>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gridSpan w:val="2"/>
          </w:tcPr>
          <w:p>
            <w:pPr>
              <w:jc w:val="center"/>
              <w:spacing w:after="0" w:line="179" w:lineRule="exact"/>
              <w:rPr>
                <w:sz w:val="20"/>
                <w:szCs w:val="20"/>
                <w:color w:val="auto"/>
              </w:rPr>
            </w:pPr>
            <w:r>
              <w:rPr>
                <w:rFonts w:ascii="Arial" w:cs="Arial" w:eastAsia="Arial" w:hAnsi="Arial"/>
                <w:sz w:val="16"/>
                <w:szCs w:val="16"/>
                <w:i w:val="1"/>
                <w:iCs w:val="1"/>
                <w:color w:val="auto"/>
                <w:w w:val="89"/>
              </w:rPr>
              <w:t>(in thousands of</w:t>
            </w:r>
          </w:p>
        </w:tc>
        <w:tc>
          <w:tcPr>
            <w:tcW w:w="120" w:type="dxa"/>
            <w:vAlign w:val="bottom"/>
          </w:tcPr>
          <w:p>
            <w:pPr>
              <w:spacing w:after="0"/>
              <w:rPr>
                <w:sz w:val="15"/>
                <w:szCs w:val="15"/>
                <w:color w:val="auto"/>
              </w:rPr>
            </w:pPr>
          </w:p>
        </w:tc>
      </w:tr>
      <w:tr>
        <w:trPr>
          <w:trHeight w:val="204"/>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i w:val="1"/>
                <w:iCs w:val="1"/>
                <w:color w:val="auto"/>
                <w:w w:val="93"/>
              </w:rPr>
              <w:t>U.S. dollars)</w:t>
            </w:r>
          </w:p>
        </w:tc>
      </w:tr>
      <w:tr>
        <w:trPr>
          <w:trHeight w:val="24"/>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1"/>
        </w:trPr>
        <w:tc>
          <w:tcPr>
            <w:tcW w:w="1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COP</w:t>
            </w:r>
          </w:p>
        </w:tc>
        <w:tc>
          <w:tcPr>
            <w:tcW w:w="74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2"/>
              </w:rPr>
              <w:t>IBR+ 2.25%-5.0% (Variable)</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8"/>
              </w:rPr>
              <w:t>2022-2024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9,442</w:t>
            </w:r>
          </w:p>
        </w:tc>
      </w:tr>
      <w:tr>
        <w:trPr>
          <w:trHeight w:val="191"/>
        </w:trPr>
        <w:tc>
          <w:tcPr>
            <w:tcW w:w="1260" w:type="dxa"/>
            <w:vAlign w:val="bottom"/>
            <w:gridSpan w:val="2"/>
          </w:tcPr>
          <w:p>
            <w:pPr>
              <w:spacing w:after="0"/>
              <w:rPr>
                <w:sz w:val="20"/>
                <w:szCs w:val="20"/>
                <w:color w:val="auto"/>
              </w:rPr>
            </w:pPr>
            <w:r>
              <w:rPr>
                <w:rFonts w:ascii="Arial" w:cs="Arial" w:eastAsia="Arial" w:hAnsi="Arial"/>
                <w:sz w:val="16"/>
                <w:szCs w:val="16"/>
                <w:color w:val="auto"/>
              </w:rPr>
              <w:t>COP</w:t>
            </w:r>
          </w:p>
        </w:tc>
        <w:tc>
          <w:tcPr>
            <w:tcW w:w="74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DTF + 6.74%</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2022</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3,154</w:t>
            </w:r>
          </w:p>
        </w:tc>
      </w:tr>
      <w:tr>
        <w:trPr>
          <w:trHeight w:val="191"/>
        </w:trPr>
        <w:tc>
          <w:tcPr>
            <w:tcW w:w="1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SOL</w:t>
            </w:r>
          </w:p>
        </w:tc>
        <w:tc>
          <w:tcPr>
            <w:tcW w:w="74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5.00% - 10.01% (Fixed)</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8"/>
              </w:rPr>
              <w:t>2021-2024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5,953</w:t>
            </w:r>
          </w:p>
        </w:tc>
      </w:tr>
      <w:tr>
        <w:trPr>
          <w:trHeight w:val="191"/>
        </w:trPr>
        <w:tc>
          <w:tcPr>
            <w:tcW w:w="1260" w:type="dxa"/>
            <w:vAlign w:val="bottom"/>
            <w:gridSpan w:val="2"/>
          </w:tcPr>
          <w:p>
            <w:pPr>
              <w:spacing w:after="0"/>
              <w:rPr>
                <w:sz w:val="20"/>
                <w:szCs w:val="20"/>
                <w:color w:val="auto"/>
              </w:rPr>
            </w:pPr>
            <w:r>
              <w:rPr>
                <w:rFonts w:ascii="Arial" w:cs="Arial" w:eastAsia="Arial" w:hAnsi="Arial"/>
                <w:sz w:val="16"/>
                <w:szCs w:val="16"/>
                <w:color w:val="auto"/>
              </w:rPr>
              <w:t>REAIS</w:t>
            </w:r>
          </w:p>
        </w:tc>
        <w:tc>
          <w:tcPr>
            <w:tcW w:w="74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9.84% - 13.08% (Fixed)</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8"/>
              </w:rPr>
              <w:t>2021-2024</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1,762</w:t>
            </w:r>
          </w:p>
        </w:tc>
      </w:tr>
      <w:tr>
        <w:trPr>
          <w:trHeight w:val="191"/>
        </w:trPr>
        <w:tc>
          <w:tcPr>
            <w:tcW w:w="1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USD</w:t>
            </w:r>
          </w:p>
        </w:tc>
        <w:tc>
          <w:tcPr>
            <w:tcW w:w="74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Libor + 2.99% / 6.5% - 8.7% (fixed)</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8"/>
              </w:rPr>
              <w:t>2022-2024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16,145</w:t>
            </w:r>
          </w:p>
        </w:tc>
      </w:tr>
      <w:tr>
        <w:trPr>
          <w:trHeight w:val="191"/>
        </w:trPr>
        <w:tc>
          <w:tcPr>
            <w:tcW w:w="1260" w:type="dxa"/>
            <w:vAlign w:val="bottom"/>
            <w:gridSpan w:val="2"/>
          </w:tcPr>
          <w:p>
            <w:pPr>
              <w:spacing w:after="0"/>
              <w:rPr>
                <w:sz w:val="20"/>
                <w:szCs w:val="20"/>
                <w:color w:val="auto"/>
              </w:rPr>
            </w:pPr>
            <w:r>
              <w:rPr>
                <w:rFonts w:ascii="Arial" w:cs="Arial" w:eastAsia="Arial" w:hAnsi="Arial"/>
                <w:sz w:val="16"/>
                <w:szCs w:val="16"/>
                <w:color w:val="auto"/>
              </w:rPr>
              <w:t>USD</w:t>
            </w:r>
          </w:p>
        </w:tc>
        <w:tc>
          <w:tcPr>
            <w:tcW w:w="744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Libor + 4.49%</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2022</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739</w:t>
            </w:r>
          </w:p>
        </w:tc>
      </w:tr>
      <w:tr>
        <w:trPr>
          <w:trHeight w:val="191"/>
        </w:trPr>
        <w:tc>
          <w:tcPr>
            <w:tcW w:w="1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COP</w:t>
            </w:r>
          </w:p>
        </w:tc>
        <w:tc>
          <w:tcPr>
            <w:tcW w:w="7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10.00% - 30.00%</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2022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14,398</w:t>
            </w:r>
          </w:p>
        </w:tc>
      </w:tr>
      <w:tr>
        <w:trPr>
          <w:trHeight w:val="208"/>
        </w:trPr>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51,593</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 Liabilities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had $31.7 million of lease liabilities as of December 31,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Factoring Obligations</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We have accounts receivable factoring arrangements with non-related third-party financial institutions (the “Factors”). Pursuant to the terms of the arrangements, we sell to the Factors certain of our accounts receivable balances on a non-recourse basis for credit approved accounts. An administrative fee per invoice is charged on the gross amount of accounts receivables assigned to the Factors, and interest is calculated based on an annual average variation of USD LIBOR and Colombian DTF, as well as fixed rates, ranging from approximately 7.2% in USD denominated arrangements to approximately 24.6% in COP denominated arrangements. The total amount factored on a non-recourse basis and excluded from accounts receivable was $10.6 million as of December 31, 2021.</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Put Option Agreements</w:t>
      </w:r>
    </w:p>
    <w:p>
      <w:pPr>
        <w:spacing w:after="0" w:line="19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Crynssen and the Minsky Family granted IFC a put option pursuant to that certain put option agreement entered into in 2017 (the “IFC Put Option Agreement”), whereby Crynssen and the Minski Family agreed to purchase up to 432,271 Crynssen Ordinary Shares held by IFC upon IFC’s delivery of a put notice for a price sufficient to provide IFC with an internal rate of return of 12% on IFC’s investment in Crynssen, beginning on the eighth anniversary of IFC’s subscription of Crynssen Ordinary Shares and ending on the earlier of the eleventh anniversary of such date or the consummation of a qualified initial public offering.</w:t>
      </w:r>
    </w:p>
    <w:p>
      <w:pPr>
        <w:spacing w:after="0" w:line="151"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Crynssen and the Minsky Family also granted Hoche a put option pursuant to that certain put option agreement dated December 23, 2019 (the “Hoche Put Option Agreement”), whereby Crynssen and the Minski Family agreed to purchase up to all of Hoche’s Crynssen Ordinary Shares upon Hoche’s delivery of a put notice for a price sufficient to provide Hoche with an internal rate of return of 12% on Hoche’s investment in Crynssen, beginning on the eight anniversary of September 1, 2017, and ending on the earlier of the eleventh anniversary of such date or the consummation of a qualified initial public offering.</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classified and measured the obligation to buy back Crynssen Ordinary Shares from IFC and Hoche at amortized cost and recognized finance expense using the effective interest rate method, including transaction costs.</w:t>
      </w:r>
    </w:p>
    <w:p>
      <w:pPr>
        <w:spacing w:after="0" w:line="15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Effective as of September 29, 2021, immediately after the Closing of the Business Combination, the IFC Put Option Agreement and the Hoche Put Option Agreement were terminated and cancelled. The termination of the put option agreements resulted in the reclassification of the associated liabilities into the Company's equity, along with a loss in income statement as the difference between such associated liabilities and the fair value of a portion of the Ordinary Shares received by IFC and Hoche as part of the Business Combination. The one-time loss on termination of such put options in the amount of $35.9 million aligns the carrying value of such put options on the termination date to the fair value of the Ordinary Shares issued.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Bank Overdrafts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have overdraft facilities available that we use to support our cash management operations. We had $0.1 million of overdrafts and credit card liabilities outstanding as of December 31, 2021.</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86" w:name="page87"/>
    <w:bookmarkEnd w:id="86"/>
    <w:p>
      <w:pPr>
        <w:ind w:left="4"/>
        <w:spacing w:after="0"/>
        <w:rPr>
          <w:sz w:val="20"/>
          <w:szCs w:val="20"/>
          <w:color w:val="auto"/>
        </w:rPr>
      </w:pPr>
      <w:r>
        <w:rPr>
          <w:rFonts w:ascii="Arial" w:cs="Arial" w:eastAsia="Arial" w:hAnsi="Arial"/>
          <w:sz w:val="16"/>
          <w:szCs w:val="16"/>
          <w:b w:val="1"/>
          <w:bCs w:val="1"/>
          <w:i w:val="1"/>
          <w:iCs w:val="1"/>
          <w:color w:val="auto"/>
        </w:rPr>
        <w:t>Senior Notes</w:t>
      </w:r>
    </w:p>
    <w:p>
      <w:pPr>
        <w:spacing w:after="0" w:line="198"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color w:val="auto"/>
        </w:rPr>
        <w:t>On November 12, 2021, the Company closed a private placement offering of $115.0 million aggregate principal amount of 4.75% guaranteed Senior Notes issued by Procaps, S.A., a subsidiary of the Company, due November 12, 2031, pursuant to a note purchase agreement entered into on November 5, 2021 with The Prudential Insurance Company of America, Prudential Annuities Life Assurance Corporation, Healthspring Life &amp; Health Insurance Company, Inc. and Cigna Health and Life Insurance Company Inc. The Senior Notes are the senior unsecured obligations of Procaps, S.A. and unconditionally guaranteed by the Company and the following subsidiaries of the Company: Crynssen Pharma Group Limited, C.I. Procaps, S.A., Diabetrics Healthcare S.A.S., Pharmayect S.A., Procaps, S.A. de C.V., Biokemical, S.A. de C.V., Colbras Indústria e Comércio Ltda., and Sofgen Pharmaceuticals LLC.</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Covenants</w:t>
      </w:r>
    </w:p>
    <w:p>
      <w:pPr>
        <w:spacing w:after="0" w:line="198" w:lineRule="exact"/>
        <w:rPr>
          <w:sz w:val="20"/>
          <w:szCs w:val="20"/>
          <w:color w:val="auto"/>
        </w:rPr>
      </w:pPr>
    </w:p>
    <w:p>
      <w:pPr>
        <w:jc w:val="both"/>
        <w:ind w:left="4" w:firstLine="574"/>
        <w:spacing w:after="0" w:line="291" w:lineRule="auto"/>
        <w:rPr>
          <w:sz w:val="20"/>
          <w:szCs w:val="20"/>
          <w:color w:val="auto"/>
        </w:rPr>
      </w:pPr>
      <w:r>
        <w:rPr>
          <w:rFonts w:ascii="Arial" w:cs="Arial" w:eastAsia="Arial" w:hAnsi="Arial"/>
          <w:sz w:val="14"/>
          <w:szCs w:val="14"/>
          <w:color w:val="auto"/>
        </w:rPr>
        <w:t>The Senior Notes contain change-of-control provisions pertaining to Procaps, S.A. and certain customary affirmative and negative covenants and events of default. In addition, the Senior Notes require us, Procaps, S.A.,and the other obligors thereunder to comply with the following financial ratios: (i) consolidated total debt of the Company, Procaps S.A., and the other obligors thereunder to consolidated EBITDA for the last twelve months of 3.50:1.00 or less, measured at certain quarterly determination dates and</w:t>
      </w:r>
    </w:p>
    <w:p>
      <w:pPr>
        <w:spacing w:after="0" w:line="1" w:lineRule="exact"/>
        <w:rPr>
          <w:sz w:val="20"/>
          <w:szCs w:val="20"/>
          <w:color w:val="auto"/>
        </w:rPr>
      </w:pPr>
    </w:p>
    <w:p>
      <w:pPr>
        <w:jc w:val="both"/>
        <w:ind w:left="4" w:right="20" w:hanging="4"/>
        <w:spacing w:after="0" w:line="254" w:lineRule="auto"/>
        <w:tabs>
          <w:tab w:leader="none" w:pos="252"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EBITDA interest coverage ratio (calculated as the consolidated EBITDA for the last twelve months of the Company, Procaps S.A., and the other obligors thereunder divided by the consolidated interest expenses of the Company, Procaps S.A., and the other obligors thereunder) in excess of, or equal to, 3.00:1.00, calculated at certain dates of determination.</w:t>
      </w:r>
    </w:p>
    <w:p>
      <w:pPr>
        <w:spacing w:after="0" w:line="168" w:lineRule="exact"/>
        <w:rPr>
          <w:sz w:val="20"/>
          <w:szCs w:val="20"/>
          <w:color w:val="auto"/>
        </w:rPr>
      </w:pPr>
    </w:p>
    <w:p>
      <w:pPr>
        <w:jc w:val="both"/>
        <w:ind w:left="4" w:right="20" w:firstLine="574"/>
        <w:spacing w:after="0" w:line="294" w:lineRule="auto"/>
        <w:rPr>
          <w:sz w:val="20"/>
          <w:szCs w:val="20"/>
          <w:color w:val="auto"/>
        </w:rPr>
      </w:pPr>
      <w:r>
        <w:rPr>
          <w:rFonts w:ascii="Arial" w:cs="Arial" w:eastAsia="Arial" w:hAnsi="Arial"/>
          <w:sz w:val="14"/>
          <w:szCs w:val="14"/>
          <w:color w:val="auto"/>
        </w:rPr>
        <w:t>The Senior Notes also contain covenants that, among other things, restrict, subject to certain exceptions, the ability of the Company, Procaps S.A. and the other obligors thereunder to change lines of business; incur additional secured indebtedness; permit subsidiaries to incur additional indebtedness; sell or transfer title to operating assets; pay dividends and distributions; engage in mergers and consolidations; create liens on assets; guarantee, indemnify or assume the liabilities of third parties; change our fiscal year reporting; or engage in certain transactions with affiliates. In addition, the Senior Notes contain a covenant that incorporates into the Senior Notes any more restrictive financial, affirmative or negative covenants, information reporting requirements or events of default from any other credit facilities in excess of U.S.$25,000,000 (including from the Syndicated Loan facility, as in effect on February 28, 2022, see “Item 5.B: Liquidity and Capital Resources—Syndicated Loan”) entered into by the Company, Procaps, S.A., or any of our subsidiaries. For purposes of the Senior Notes, EBITDA is calculated as income from sales and services, less (i) sales and production costs, less (ii) operating expenses, less (iii) administrative expenses, plus (iv) depreciation, plus (ii) amortizations, plus (iii) provisions, and less (iv) portfolio write-offs.</w:t>
      </w:r>
    </w:p>
    <w:p>
      <w:pPr>
        <w:spacing w:after="0" w:line="143"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table below sets forth the outstanding balance and certain other information on the Senior Notes as of December 31, 2021.</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6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Outstanding</w:t>
            </w:r>
          </w:p>
        </w:tc>
      </w:tr>
      <w:tr>
        <w:trPr>
          <w:trHeight w:val="191"/>
        </w:trPr>
        <w:tc>
          <w:tcPr>
            <w:tcW w:w="6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Balance as</w:t>
            </w:r>
          </w:p>
        </w:tc>
      </w:tr>
      <w:tr>
        <w:trPr>
          <w:trHeight w:val="191"/>
        </w:trPr>
        <w:tc>
          <w:tcPr>
            <w:tcW w:w="6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Range of</w:t>
            </w: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Maturity</w:t>
            </w: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w w:val="97"/>
              </w:rPr>
              <w:t>of December 31,</w:t>
            </w:r>
          </w:p>
        </w:tc>
      </w:tr>
      <w:tr>
        <w:trPr>
          <w:trHeight w:val="212"/>
        </w:trPr>
        <w:tc>
          <w:tcPr>
            <w:tcW w:w="62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Interest</w:t>
            </w: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Year</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Pr>
          <w:p>
            <w:pPr>
              <w:spacing w:after="0"/>
              <w:rPr>
                <w:sz w:val="18"/>
                <w:szCs w:val="18"/>
                <w:color w:val="auto"/>
              </w:rPr>
            </w:pPr>
          </w:p>
        </w:tc>
      </w:tr>
      <w:tr>
        <w:trPr>
          <w:trHeight w:val="191"/>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The Prudential Insurance Company of America</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USD</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w w:val="90"/>
              </w:rPr>
              <w:t>4.75% (Fixed)</w:t>
            </w: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2031</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58,906</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6200" w:type="dxa"/>
            <w:vAlign w:val="bottom"/>
          </w:tcPr>
          <w:p>
            <w:pPr>
              <w:spacing w:after="0"/>
              <w:rPr>
                <w:sz w:val="20"/>
                <w:szCs w:val="20"/>
                <w:color w:val="auto"/>
              </w:rPr>
            </w:pPr>
            <w:r>
              <w:rPr>
                <w:rFonts w:ascii="Arial" w:cs="Arial" w:eastAsia="Arial" w:hAnsi="Arial"/>
                <w:sz w:val="16"/>
                <w:szCs w:val="16"/>
                <w:color w:val="auto"/>
              </w:rPr>
              <w:t>Prudential Annuities Life Assurance Corporation</w:t>
            </w: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USD</w:t>
            </w:r>
          </w:p>
        </w:tc>
        <w:tc>
          <w:tcPr>
            <w:tcW w:w="1360" w:type="dxa"/>
            <w:vAlign w:val="bottom"/>
            <w:gridSpan w:val="2"/>
          </w:tcPr>
          <w:p>
            <w:pPr>
              <w:ind w:left="200"/>
              <w:spacing w:after="0"/>
              <w:rPr>
                <w:sz w:val="20"/>
                <w:szCs w:val="20"/>
                <w:color w:val="auto"/>
              </w:rPr>
            </w:pPr>
            <w:r>
              <w:rPr>
                <w:rFonts w:ascii="Arial" w:cs="Arial" w:eastAsia="Arial" w:hAnsi="Arial"/>
                <w:sz w:val="16"/>
                <w:szCs w:val="16"/>
                <w:color w:val="auto"/>
              </w:rPr>
              <w:t>4.75% (Fixed)</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2031</w:t>
            </w:r>
          </w:p>
        </w:tc>
        <w:tc>
          <w:tcPr>
            <w:tcW w:w="2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29,423</w:t>
            </w:r>
          </w:p>
        </w:tc>
      </w:tr>
      <w:tr>
        <w:trPr>
          <w:trHeight w:val="191"/>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Healthspring Life &amp; Health Insurance Company, Inc</w:t>
            </w:r>
          </w:p>
        </w:tc>
        <w:tc>
          <w:tcPr>
            <w:tcW w:w="126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94"/>
              </w:rPr>
              <w:t>USD</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4.75% (Fixed)</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18,007</w:t>
            </w:r>
          </w:p>
        </w:tc>
      </w:tr>
      <w:tr>
        <w:trPr>
          <w:trHeight w:val="191"/>
        </w:trPr>
        <w:tc>
          <w:tcPr>
            <w:tcW w:w="6200" w:type="dxa"/>
            <w:vAlign w:val="bottom"/>
          </w:tcPr>
          <w:p>
            <w:pPr>
              <w:spacing w:after="0"/>
              <w:rPr>
                <w:sz w:val="20"/>
                <w:szCs w:val="20"/>
                <w:color w:val="auto"/>
              </w:rPr>
            </w:pPr>
            <w:r>
              <w:rPr>
                <w:rFonts w:ascii="Arial" w:cs="Arial" w:eastAsia="Arial" w:hAnsi="Arial"/>
                <w:sz w:val="16"/>
                <w:szCs w:val="16"/>
                <w:color w:val="auto"/>
              </w:rPr>
              <w:t>CIGNA Health and Life Insurance Company</w:t>
            </w: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USD</w:t>
            </w:r>
          </w:p>
        </w:tc>
        <w:tc>
          <w:tcPr>
            <w:tcW w:w="1360" w:type="dxa"/>
            <w:vAlign w:val="bottom"/>
            <w:gridSpan w:val="2"/>
          </w:tcPr>
          <w:p>
            <w:pPr>
              <w:ind w:left="200"/>
              <w:spacing w:after="0"/>
              <w:rPr>
                <w:sz w:val="20"/>
                <w:szCs w:val="20"/>
                <w:color w:val="auto"/>
              </w:rPr>
            </w:pPr>
            <w:r>
              <w:rPr>
                <w:rFonts w:ascii="Arial" w:cs="Arial" w:eastAsia="Arial" w:hAnsi="Arial"/>
                <w:sz w:val="16"/>
                <w:szCs w:val="16"/>
                <w:color w:val="auto"/>
              </w:rPr>
              <w:t>4.75% (Fixed)</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2031</w:t>
            </w:r>
          </w:p>
        </w:tc>
        <w:tc>
          <w:tcPr>
            <w:tcW w:w="2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6,521</w:t>
            </w:r>
          </w:p>
        </w:tc>
      </w:tr>
      <w:tr>
        <w:trPr>
          <w:trHeight w:val="191"/>
        </w:trPr>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112,857</w:t>
            </w:r>
          </w:p>
        </w:tc>
        <w:tc>
          <w:tcPr>
            <w:tcW w:w="120" w:type="dxa"/>
            <w:vAlign w:val="bottom"/>
            <w:shd w:val="clear" w:color="auto" w:fill="CCEEFF"/>
          </w:tcPr>
          <w:p>
            <w:pPr>
              <w:spacing w:after="0"/>
              <w:rPr>
                <w:sz w:val="16"/>
                <w:szCs w:val="16"/>
                <w:color w:val="auto"/>
              </w:rPr>
            </w:pPr>
          </w:p>
        </w:tc>
      </w:tr>
    </w:tbl>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202"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A summary of our enforceable and legally binding obligations as of December 31, 2021 are set forth in the following table. Some of the amounts included in this table are based on management’s estimates and assumptions about these obligations, including the duration, the possibility of renewal, anticipated actions by third parties and other factors. Because these estimates and assumptions are necessarily subjective, the enforceable and legally binding obligations actually paid in future periods may vary from the amounts reflected in the table.</w:t>
      </w:r>
    </w:p>
    <w:p>
      <w:pPr>
        <w:spacing w:after="0" w:line="177"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46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1060"/>
              <w:spacing w:after="0"/>
              <w:rPr>
                <w:sz w:val="20"/>
                <w:szCs w:val="20"/>
                <w:color w:val="auto"/>
              </w:rPr>
            </w:pPr>
            <w:r>
              <w:rPr>
                <w:rFonts w:ascii="Arial" w:cs="Arial" w:eastAsia="Arial" w:hAnsi="Arial"/>
                <w:sz w:val="16"/>
                <w:szCs w:val="16"/>
                <w:b w:val="1"/>
                <w:bCs w:val="1"/>
                <w:i w:val="1"/>
                <w:iCs w:val="1"/>
                <w:color w:val="auto"/>
                <w:w w:val="85"/>
              </w:rPr>
              <w:t>As of December 31, 2021</w:t>
            </w: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462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(U.S. dollars in thousands)</w:t>
            </w: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2023-2024</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2025-2026</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After 2026</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gridSpan w:val="2"/>
          </w:tcPr>
          <w:p>
            <w:pPr>
              <w:spacing w:after="0"/>
              <w:rPr>
                <w:sz w:val="18"/>
                <w:szCs w:val="18"/>
                <w:color w:val="auto"/>
              </w:rPr>
            </w:pPr>
          </w:p>
        </w:tc>
      </w:tr>
      <w:tr>
        <w:trPr>
          <w:trHeight w:val="215"/>
        </w:trPr>
        <w:tc>
          <w:tcPr>
            <w:tcW w:w="462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Long-term debt obligations</w:t>
            </w:r>
            <w:r>
              <w:rPr>
                <w:rFonts w:ascii="Arial" w:cs="Arial" w:eastAsia="Arial" w:hAnsi="Arial"/>
                <w:sz w:val="24"/>
                <w:szCs w:val="24"/>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71,987</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16,895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15,330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148,799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253,011</w:t>
            </w:r>
          </w:p>
        </w:tc>
        <w:tc>
          <w:tcPr>
            <w:tcW w:w="100" w:type="dxa"/>
            <w:vAlign w:val="bottom"/>
            <w:shd w:val="clear" w:color="auto" w:fill="CCEEFF"/>
          </w:tcPr>
          <w:p>
            <w:pPr>
              <w:spacing w:after="0"/>
              <w:rPr>
                <w:sz w:val="18"/>
                <w:szCs w:val="18"/>
                <w:color w:val="auto"/>
              </w:rPr>
            </w:pPr>
          </w:p>
        </w:tc>
      </w:tr>
      <w:tr>
        <w:trPr>
          <w:trHeight w:val="227"/>
        </w:trPr>
        <w:tc>
          <w:tcPr>
            <w:tcW w:w="4620" w:type="dxa"/>
            <w:vAlign w:val="bottom"/>
          </w:tcPr>
          <w:p>
            <w:pPr>
              <w:spacing w:after="0" w:line="227" w:lineRule="exact"/>
              <w:rPr>
                <w:sz w:val="20"/>
                <w:szCs w:val="20"/>
                <w:color w:val="auto"/>
              </w:rPr>
            </w:pPr>
            <w:r>
              <w:rPr>
                <w:rFonts w:ascii="Arial" w:cs="Arial" w:eastAsia="Arial" w:hAnsi="Arial"/>
                <w:sz w:val="16"/>
                <w:szCs w:val="16"/>
                <w:color w:val="auto"/>
              </w:rPr>
              <w:t>Finance lease obligations</w:t>
            </w:r>
            <w:r>
              <w:rPr>
                <w:rFonts w:ascii="Arial" w:cs="Arial" w:eastAsia="Arial" w:hAnsi="Arial"/>
                <w:sz w:val="26"/>
                <w:szCs w:val="26"/>
                <w:color w:val="auto"/>
                <w:vertAlign w:val="superscript"/>
              </w:rPr>
              <w:t>(2)</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9,853</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7,403</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5,333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17,315</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39,904</w:t>
            </w:r>
          </w:p>
        </w:tc>
        <w:tc>
          <w:tcPr>
            <w:tcW w:w="100" w:type="dxa"/>
            <w:vAlign w:val="bottom"/>
          </w:tcPr>
          <w:p>
            <w:pPr>
              <w:spacing w:after="0"/>
              <w:rPr>
                <w:sz w:val="19"/>
                <w:szCs w:val="19"/>
                <w:color w:val="auto"/>
              </w:rPr>
            </w:pPr>
          </w:p>
        </w:tc>
      </w:tr>
      <w:tr>
        <w:trPr>
          <w:trHeight w:val="191"/>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payables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85,381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85,381</w:t>
            </w:r>
          </w:p>
        </w:tc>
        <w:tc>
          <w:tcPr>
            <w:tcW w:w="100" w:type="dxa"/>
            <w:vAlign w:val="bottom"/>
            <w:shd w:val="clear" w:color="auto" w:fill="CCEEFF"/>
          </w:tcPr>
          <w:p>
            <w:pPr>
              <w:spacing w:after="0"/>
              <w:rPr>
                <w:sz w:val="16"/>
                <w:szCs w:val="16"/>
                <w:color w:val="auto"/>
              </w:rPr>
            </w:pPr>
          </w:p>
        </w:tc>
      </w:tr>
      <w:tr>
        <w:trPr>
          <w:trHeight w:val="191"/>
        </w:trPr>
        <w:tc>
          <w:tcPr>
            <w:tcW w:w="4620" w:type="dxa"/>
            <w:vAlign w:val="bottom"/>
          </w:tcPr>
          <w:p>
            <w:pPr>
              <w:spacing w:after="0"/>
              <w:rPr>
                <w:sz w:val="20"/>
                <w:szCs w:val="20"/>
                <w:color w:val="auto"/>
              </w:rPr>
            </w:pPr>
            <w:r>
              <w:rPr>
                <w:rFonts w:ascii="Arial" w:cs="Arial" w:eastAsia="Arial" w:hAnsi="Arial"/>
                <w:sz w:val="16"/>
                <w:szCs w:val="16"/>
                <w:color w:val="auto"/>
              </w:rPr>
              <w:t>Amounts owed to related parties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8,450</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8,450</w:t>
            </w:r>
          </w:p>
        </w:tc>
        <w:tc>
          <w:tcPr>
            <w:tcW w:w="100" w:type="dxa"/>
            <w:vAlign w:val="bottom"/>
          </w:tcPr>
          <w:p>
            <w:pPr>
              <w:spacing w:after="0"/>
              <w:rPr>
                <w:sz w:val="16"/>
                <w:szCs w:val="16"/>
                <w:color w:val="auto"/>
              </w:rPr>
            </w:pPr>
          </w:p>
        </w:tc>
      </w:tr>
      <w:tr>
        <w:trPr>
          <w:trHeight w:val="259"/>
        </w:trPr>
        <w:tc>
          <w:tcPr>
            <w:tcW w:w="4620" w:type="dxa"/>
            <w:vAlign w:val="bottom"/>
            <w:shd w:val="clear" w:color="auto" w:fill="CCEEFF"/>
          </w:tcPr>
          <w:p>
            <w:pPr>
              <w:spacing w:after="0" w:line="238" w:lineRule="exact"/>
              <w:rPr>
                <w:sz w:val="20"/>
                <w:szCs w:val="20"/>
                <w:color w:val="auto"/>
              </w:rPr>
            </w:pPr>
            <w:r>
              <w:rPr>
                <w:rFonts w:ascii="Arial" w:cs="Arial" w:eastAsia="Arial" w:hAnsi="Arial"/>
                <w:sz w:val="16"/>
                <w:szCs w:val="16"/>
                <w:color w:val="auto"/>
              </w:rPr>
              <w:t>Other commitments</w:t>
            </w:r>
            <w:r>
              <w:rPr>
                <w:rFonts w:ascii="Arial" w:cs="Arial" w:eastAsia="Arial" w:hAnsi="Arial"/>
                <w:sz w:val="26"/>
                <w:szCs w:val="26"/>
                <w:color w:val="auto"/>
                <w:vertAlign w:val="superscript"/>
              </w:rPr>
              <w:t>(3)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3,585</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5,185</w:t>
            </w:r>
          </w:p>
        </w:tc>
        <w:tc>
          <w:tcPr>
            <w:tcW w:w="100" w:type="dxa"/>
            <w:vAlign w:val="bottom"/>
            <w:shd w:val="clear" w:color="auto" w:fill="CCEEFF"/>
          </w:tcPr>
          <w:p>
            <w:pPr>
              <w:spacing w:after="0"/>
              <w:rPr>
                <w:sz w:val="22"/>
                <w:szCs w:val="22"/>
                <w:color w:val="auto"/>
              </w:rPr>
            </w:pPr>
          </w:p>
        </w:tc>
      </w:tr>
      <w:tr>
        <w:trPr>
          <w:trHeight w:val="179"/>
        </w:trPr>
        <w:tc>
          <w:tcPr>
            <w:tcW w:w="462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179,256</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25,898</w:t>
            </w: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20,663</w:t>
            </w: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166,114</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391,931</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ind w:left="284" w:right="20" w:hanging="284"/>
        <w:spacing w:after="0" w:line="309" w:lineRule="auto"/>
        <w:tabs>
          <w:tab w:leader="none" w:pos="284"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Represents gross maturities of our long-term debt obligations, excluding finance lease obligations as of December 31, 2021, including the interest payments. Estimated future interest payments on our variable-rate debt obligations were calculated using the interest rates in effect as of December 31, 2021.</w:t>
      </w:r>
    </w:p>
    <w:p>
      <w:pPr>
        <w:spacing w:after="0" w:line="3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87" w:name="page88"/>
    <w:bookmarkEnd w:id="87"/>
    <w:p>
      <w:pPr>
        <w:ind w:left="284" w:right="20" w:hanging="284"/>
        <w:spacing w:after="0" w:line="275" w:lineRule="auto"/>
        <w:tabs>
          <w:tab w:leader="none" w:pos="2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maturities of our finance lease obligations included within long-term debt as of December 31, 2021, including interest payments. Estimated future interest payments on our variable-rate debt obligations were calculated using the interest rates in effect as of December 31, 2021.</w:t>
      </w:r>
    </w:p>
    <w:p>
      <w:pPr>
        <w:spacing w:after="0" w:line="151" w:lineRule="exact"/>
        <w:rPr>
          <w:rFonts w:ascii="Arial" w:cs="Arial" w:eastAsia="Arial" w:hAnsi="Arial"/>
          <w:sz w:val="16"/>
          <w:szCs w:val="16"/>
          <w:color w:val="auto"/>
        </w:rPr>
      </w:pPr>
    </w:p>
    <w:p>
      <w:pPr>
        <w:ind w:left="284" w:right="20" w:hanging="284"/>
        <w:spacing w:after="0" w:line="349" w:lineRule="auto"/>
        <w:tabs>
          <w:tab w:leader="none" w:pos="284"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 commitments to acquire capital expenditures in the amount of $3.6 million and asset acquisition obligations of one of our pharmaceutical production facilities in the amount of $1.6 million. Please see Note 14 to the Audited Consolidated Financial Statements included elsewhere in this annual report for more information.</w:t>
      </w:r>
    </w:p>
    <w:p>
      <w:pPr>
        <w:spacing w:after="0" w:line="105" w:lineRule="exact"/>
        <w:rPr>
          <w:sz w:val="20"/>
          <w:szCs w:val="20"/>
          <w:color w:val="auto"/>
        </w:rPr>
      </w:pPr>
    </w:p>
    <w:p>
      <w:pPr>
        <w:jc w:val="both"/>
        <w:ind w:left="4" w:right="20" w:firstLine="574"/>
        <w:spacing w:after="0" w:line="255" w:lineRule="auto"/>
        <w:rPr>
          <w:sz w:val="20"/>
          <w:szCs w:val="20"/>
          <w:color w:val="auto"/>
        </w:rPr>
      </w:pPr>
      <w:r>
        <w:rPr>
          <w:rFonts w:ascii="Arial" w:cs="Arial" w:eastAsia="Arial" w:hAnsi="Arial"/>
          <w:sz w:val="16"/>
          <w:szCs w:val="16"/>
          <w:color w:val="auto"/>
        </w:rPr>
        <w:t>Deferred tax liabilities were $6.1 million as of December 31, 2021. This amount is not included in the contractual obligations table above because we believe this presentation would not be meaningful. Deferred tax liabilities are calculated based on temporary differences between the tax basis of assets and liabilities and their book basis, which will result in taxable amounts in future years when the book basis is settled. The results of these calculations do not have a direct connection with the amount of cash taxes to be paid in any future periods. As a result, scheduling deferred tax liabilities as payments due by period could be misleading because this scheduling would not relate to liquidity needs.</w:t>
      </w:r>
    </w:p>
    <w:p>
      <w:pPr>
        <w:spacing w:after="0" w:line="170"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Our management believes that our financial resources and expected future cash flows from operating activities shall be sufficient to satisfy our contractual obligations and commitments.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Off-Balance Sheet Arrangements</w:t>
      </w:r>
    </w:p>
    <w:p>
      <w:pPr>
        <w:spacing w:after="0" w:line="202"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There is no commitments or obligations, including contingent obligations, arising from off-balance sheet arrangements with unconsolidated entities or persons that have a material current effect, or that are reasonably likely to have a material future effect, on our financial condition, changes in financial condition, net sales or expenses, results of operations, liquidity, capital expenditures, or capital resources.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 RESEARCH AND DEVELOPMENT, PATENTS AND LICENSES, ETC.</w:t>
      </w:r>
    </w:p>
    <w:p>
      <w:pPr>
        <w:spacing w:after="0" w:line="202" w:lineRule="exact"/>
        <w:rPr>
          <w:sz w:val="20"/>
          <w:szCs w:val="20"/>
          <w:color w:val="auto"/>
        </w:rPr>
      </w:pPr>
    </w:p>
    <w:p>
      <w:pPr>
        <w:jc w:val="both"/>
        <w:ind w:left="4" w:firstLine="574"/>
        <w:spacing w:after="0" w:line="295" w:lineRule="auto"/>
        <w:rPr>
          <w:sz w:val="20"/>
          <w:szCs w:val="20"/>
          <w:color w:val="auto"/>
        </w:rPr>
      </w:pPr>
      <w:r>
        <w:rPr>
          <w:rFonts w:ascii="Arial" w:cs="Arial" w:eastAsia="Arial" w:hAnsi="Arial"/>
          <w:sz w:val="14"/>
          <w:szCs w:val="14"/>
          <w:color w:val="auto"/>
        </w:rPr>
        <w:t>Our R&amp;D activities are directed primarily toward the development of new products and services, and the improvement of our manufacturing processes and delivery technologies. Our R&amp;D platform is decentralized with research centers in Barranquilla, Colombia, Cotia, Brazil, and West Palm Beach, Florida. We employ more than 304 scientists, technicians and skilled personnel in R&amp;D and innovation. Our main R&amp;D operation is in the city of Barranquilla, Colombia, which employs over 270 scientists, technicians and skilled personnel in R&amp;D and technological innovation. Our R&amp;D team has developed over 500 pharmaceutical products formulations as of December 31, 2021, resulting in the development of an average of over 150 new products, including more than 50 first time launch products per year over the last three years. Procaps has invested $16.0 million, $15.8 million and $13.2 million in R&amp;D for the years ended December 31, 2021, 2020 and 2019, respectively. We expect to increase our R&amp;D expenses for the foreseeable future as we continue the development of product candidates and explore further potential applications of our proprietary technologies</w:t>
      </w:r>
    </w:p>
    <w:p>
      <w:pPr>
        <w:spacing w:after="0" w:line="144"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Our corporate culture focuses on innovation and R&amp;D, which has resulted in the development of over 500 pharmaceutical product formulations as of December 31, 2021. We rely on a combination of know-how, trade secrets, patents, copyrights, trademarks, and other intellectual property, nondisclosure and other contractual provisions, and technical measures to protect a number of our products, services, processes and intangible assets. These proprietary rights are important to our ongoing operations as 99% of our current Rx and OTC product portfolio is proprietary.</w:t>
      </w:r>
    </w:p>
    <w:p>
      <w:pPr>
        <w:spacing w:after="0" w:line="165"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We have applied in Colombia, the United States and certain other countries for registration of a number of trademarks, service marks, and patents, some of which have been registered and issued, and also hold common law rights in various trademarks and service marks. As of December 31, 2021, we have been granted 39 patents and have 38 patents pending approval.</w:t>
      </w:r>
    </w:p>
    <w:p>
      <w:pPr>
        <w:spacing w:after="0" w:line="16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For more information, see “Item 4: Information on the Company”.</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auto"/>
        </w:rPr>
        <w:t>D. TREND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COVID-19</w:t>
      </w:r>
    </w:p>
    <w:p>
      <w:pPr>
        <w:spacing w:after="0" w:line="20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On March 11, 2020, the World Health Organization designated COVID-19 as a global pandemic. The rapid spread of COVID-19 around the world led to the shutdown of cities as national, state, and local authorities implemented social distancing, quarantine and self-isolation measures. Many such restrictions remain in place, and some state and local governments are re-imposing certain restrictions due to the increasing rates of COVID-19 cases.</w:t>
      </w:r>
    </w:p>
    <w:p>
      <w:pPr>
        <w:spacing w:after="0" w:line="162"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The COVID-19 pandemic and the responses by government entities to combat the virus have had an adverse impact on our operations by, among other things, increasing absenteeism, affecting logistics and the supply of raw materials and third party supplied finished goods, and preventing many of our employees from coming to work during mandatory quarantine periods. We have responded to such impacts by, among other things, hiring additional personnel to substitute unavailable staff due to quarantine for potential exposure to COVID-19, implementing protocols to protect the health of factory workers, adjusting production schedules, and seeking alternate suppliers where available, and so far, most of our facilities have continued to produce at high levels despite these challenges. However, a number of jurisdictions that relaxed such restrictions, or have experienced limited public adherence with suggested safety measures, such as Brazil, have experienced new surges in COVID-19 cases and the emergence of new strains such as the Omicron or Delta variant. Many of these jurisdictions continue to contemplate or implement new or renewed restrictions. In addition, as conditions worldwide continue to evolve, there is uncertainty about the timing of widespread availability and acceptance of vaccines. As such, if the pandemic continues or intensifies, it is possible that these or other challenges may begin having a larger impact on our operations.</w:t>
      </w:r>
    </w:p>
    <w:p>
      <w:pPr>
        <w:spacing w:after="0" w:line="159"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We are closely monitoring the impact of COVID-19 on all aspects of our business in all of our locations. Our first priority has been, and will continue to be, the safety of our employees who continue to come to work and are dedicated to keeping our essential products flowing into the market. We have taken extra precautions at our facilities to help ensure the health and safety of our employees that are in line with guidance from global and local health authorities. Among the precautions implemented, we have generally restricted access to our manufacturing and administrative facilities to essential employees only and permitted a limited number of nonessential employees into other facilities with a strict approval process, implemented a multi-step pre-screening access process before an employee can enter a facility, communicated regularly with employees and provided education and implemented controls related to physical distancing and hygiene measures, implemented remote work arrangements where appropriate, restricted business travel, and shifted the production of our products to a different mix of products in order to meet the changes in demand as a result of the COVID-19 pandemic. To date, these arrangements have not materially affected our ability to maintain our business operations, including the operation of financial reporting systems and our internal audit and accounting controls and procedures.</w:t>
      </w:r>
    </w:p>
    <w:p>
      <w:pPr>
        <w:spacing w:after="0" w:line="159"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The COVID-19 pandemic did not have a material impact on our results of operations, cash flows and financial position for the years ended December 31, 2021 and 2020, however, the pandemic had a negative impact on certain aspects of our business and a positive impact on others. The COVID-19 pandemic caused complications in logistics and personnel transport during mandatory quarantine periods. Also, we had to hire additional personnel to substitute unavailable staff due to quarantine for potential exposure to COVID-19. We also incurred additional expenses by contracting third parties to substitute unavailable personnel and purchasing personal protective equipment (“PPE”). Price changes in raw materials also impacted our business, however, we were able counteract the impact of these effects by launching new products, training our sales forces to capitalize on opportunities, implementing fewer discount promotions, generating demand in markets such as Colombia and Central America, and by growing our generic drug business. Although revenue initially decreased during the second quarter of 2020, sales are improving and returning to pre-pandemic levels, although with a different mix of products as of year-end December 31, 2020 and continue to increase during the year ended December 31, 2021.</w:t>
      </w:r>
    </w:p>
    <w:p>
      <w:pPr>
        <w:spacing w:after="0" w:line="143"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For the years ended December 31, 2021 and 2020, most of our segments experienced product demand shifts that caused net sales to increase in certain product categories and decrease in other categories. We attribute these demand shifts to consumer and customer behavior changes surrounding the COVID-19 pandemic and the movement and social distancing restrictions put in place to combat the spread of the virus. Furthermore, the COVID-19 pandemic resulted in changes to morbidity rates for certain underlying health conditions which resulted in increased demand for certain products and decreased the demand for other products. We benefited operationally and financially from a significant growth in the sale of certain products such as (i) products that are associated with immunity, such as Vitamin C products (Lemovit, Gumivit, Vitamin C Colmed), Vitamin D products (Deferol, Vitamin D Colmed) and Zinc products (FortZink), (ii) products for preventive or curative effects of COVID-19, such as Kimod (Ivermectin) and Azithromycin Colmed, (iii) anesthetic corticosteroids for use in intensive care unit, such as Tracurion (cisatracurium), rocuronium and vecuronium, and (iv) anti-fluid masks manufactured by our Rymco facilities. The increase in revenue from the increased sales of such COVID-19 related products was partially offset by a decrease in sales of certain products due to the reduction of morbidity rates in connection with certain underlying health conditions that reduced the demand for products such as (i) gastrointestinal products, such as Ezolium, Nytax and Ifaxim, as a result of what we believe to be a healthier diet from eating at home, (ii) products for vaginal infectious diseases, such as Vaxiduo and Albisec, (iii) respiratory products, such as Alercet, Alercet D and Cloperax, as a result of people being at home and having less exposure to smog in cities, and (iv) Intra-hospital anti-infectives products such as Meropenen and Tapectan as a result of the reduction in elective surgical procedures. We also benefited from our sales distribution model which enables us to have a wide exposure to various pharmaceutical company customers.</w:t>
      </w:r>
    </w:p>
    <w:p>
      <w:pPr>
        <w:spacing w:after="0" w:line="14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Also, for the years ended December 31, 2021 and 2020, we had incremental operating costs of approximately $3.8 million and $5.2 million, respectively, related to COVID-19 pandemic, primarily due to the precautions implemented to keep our employees safe as well as increased material costs.</w:t>
      </w:r>
    </w:p>
    <w:p>
      <w:pPr>
        <w:spacing w:after="0" w:line="15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The full extent to which the COVID-19 pandemic will directly or indirectly impact our business, future results of operations and financial condition will depend on future factors that are highly uncertain and cannot be accurately predicted. These factors include, but are not limited to, new information that may emerge concerning COVID-19, the scope and duration of business closures and restrictions, and the duration and severity of the COVID-19 pandemic, including if new strains of the virus become more prevalent, contagious or harmful. These factors may continue to increase or decrease consumer and/or customer demand for certain products within our business segments. Due to these and other uncertainties, we cannot estimate the length or severity of the impact of the pandemic on our business.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89" w:name="page90"/>
    <w:bookmarkEnd w:id="89"/>
    <w:p>
      <w:pPr>
        <w:jc w:val="both"/>
        <w:ind w:right="20" w:firstLine="574"/>
        <w:spacing w:after="0" w:line="254" w:lineRule="auto"/>
        <w:rPr>
          <w:sz w:val="20"/>
          <w:szCs w:val="20"/>
          <w:color w:val="auto"/>
        </w:rPr>
      </w:pPr>
      <w:r>
        <w:rPr>
          <w:rFonts w:ascii="Arial" w:cs="Arial" w:eastAsia="Arial" w:hAnsi="Arial"/>
          <w:sz w:val="16"/>
          <w:szCs w:val="16"/>
          <w:color w:val="auto"/>
        </w:rPr>
        <w:t>The impact of COVID-19 vaccination efforts on the evolution of the pandemic globally, and the effectiveness of vaccines on new strains and variants of the COVID-19 virus, remains uncertain at this time. The situation surrounding COVID-19 remains fluid, and we are actively managing our response and assessing potential impacts to our financial condition, supply chains and other operations, employees, results of operations, consumer demand for our products, and our ability to access capital. In addition, during the year ended December 31, 2021 we deployed our vaccination plan with the end goal of improving safety conditions and protecting our employees. As mandatory lockdowns in most countries have been relaxed certain of our departments have initiated a return-to-work plan at our facilities, resulting in an increase of COVID-19 testing for employees, as well as personal protective equipment.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more information on recent developments affecting our business as a result of the COVID-19 pandemic, see “Item 4: Information on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for Pharmaceuticals Industry</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Continued strengthening in early-stage development pipelines for drugs and biologics, compounded by increasing clinical trial breadth and complexity, support our belief in the attractive growth prospects for development of delivery solutions. Large companies are in many cases reconfiguring their R&amp;D resources, increasingly involving the use of strategic partners for important outsourced functions. Additionally, an increasing portion of compounds in development are from companies that do not have a full R&amp;D infrastructure, and thus are more likely to need strategic development solutions partners.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invested $16.0 million, $15.8 million and $13.2 million in R&amp;D for the years ended December 31, 2021, 2020 and 2019, respectively,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more information, see “Item 4: Information on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Aging Population in Latin America</w:t>
      </w:r>
    </w:p>
    <w:p>
      <w:pPr>
        <w:spacing w:after="0" w:line="198" w:lineRule="exact"/>
        <w:rPr>
          <w:sz w:val="20"/>
          <w:szCs w:val="20"/>
          <w:color w:val="auto"/>
        </w:rPr>
      </w:pPr>
    </w:p>
    <w:p>
      <w:pPr>
        <w:jc w:val="both"/>
        <w:ind w:right="20" w:firstLine="574"/>
        <w:spacing w:after="0" w:line="272" w:lineRule="auto"/>
        <w:rPr>
          <w:sz w:val="20"/>
          <w:szCs w:val="20"/>
          <w:color w:val="auto"/>
        </w:rPr>
      </w:pPr>
      <w:r>
        <w:rPr>
          <w:rFonts w:ascii="Arial" w:cs="Arial" w:eastAsia="Arial" w:hAnsi="Arial"/>
          <w:sz w:val="15"/>
          <w:szCs w:val="15"/>
          <w:color w:val="auto"/>
        </w:rPr>
        <w:t>Aging population demographics in Latin American countries, combined with health care reforms in many global markets that are expanding access to treatment to a greater proportion of their populations, will continue to drive increases in demand for pharmaceuticals, biologics, and consumer health products. Increasing economic affluence in developing regions will further increase demand for healthcare treatments, and we are taking active steps to allow us to participate effectively in these growth regions and product categories. In accordance with a report by the United Nations Department of Economics and Social Affairs, in 1975, 41% of the population in Latin America was 14 years of age or younger, 55% was between 15 and 64 years of age and 4% was 65 years of age or older, and in 2000, 31% of the population was 14 years of age or younger, 63% was between 15 and 64 years of age and 6% was 65 years of age or older. Pursuant to the report, it is estimated that by 2025, 22% of the population will be 14 years of age or younger, 68% will be between 15 and 64 years of age and 10% will be 65 years of age or older, and by 2050, 16% of the population will be 14 years of age or younger, 63% will be between 15 and 64 years of age and 21% will be 65 years of age or older.</w:t>
      </w:r>
    </w:p>
    <w:p>
      <w:pPr>
        <w:spacing w:after="0" w:line="157"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We believe the market access and payor pressures our customers face, global supply chain complexity, and the increasing demand for improved treatments will continue to escalate the need for product differentiation, improved outcomes, and treatment cost reduction, all of which can often be addressed using our advanced delivery technologies.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Fast Growing Pharmaceuticals Market in Latin America</w:t>
      </w:r>
    </w:p>
    <w:p>
      <w:pPr>
        <w:spacing w:after="0" w:line="198"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We participate in the global pharmaceutical and biotechnology industry, which has been estimated to generate more than $1 trillion in annual revenue over the next eight years following 2020, including, but not limited to, the prescription drug and biologic sectors as well as consumer health, which includes the OTC and vitamins and nutritional supplement sectors. Innovative pharmaceuticals continue to play a critical role in the global market, while the share of revenue due to generic drugs and biosimilars is increasing in both developed and developing markets. Sustained developed market demand and rapid growth in emerging economies such as Latin America is driving the consumer health product growth rate to more than double that for pharmaceuticals. Payors, both public and private, have sought to limit the economic impact of pharmaceutical and biologics product demand through greater use of generic and biosimilar drugs, access and spending controls, and health technology assessment techniques, favoring products that deliver truly differentiated outcomes. Additionally, we believe the demand for innovative delivery systems will increase due to growing healthcare expenditures globally (estimated at a compounded annual growth rate of 7% from 2020 to 2024, according to independent third-party industry reports) and the implementation of government reforms to improve the regulatory environment in Latin America and intellectual property protection.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i w:val="1"/>
          <w:iCs w:val="1"/>
          <w:color w:val="auto"/>
        </w:rPr>
        <w:t>Large and Fast-growing CDMO (Contract Manufacturing Organization) Market</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We participate in the CDMO market which, according to independent third-party industry reports, is estimated to continue its growth of 6.4% over the next four years. It is also estimated that outsourced pharmaceutical manufacturing will continue its growth of 6.5% over the next four years. We believe there is a high potential to increase outsourced pharmaceutical manufacturing worldwide since only approximately 26% of global pharmaceutical manufacturing is currently being outsourced. The CDMO industry is highly fragmented, with the top 10 manufacturers holding less than a 20% market share in terms of revenue, creating opportunities for inorganic growth through consolidation and entry into adjacent markets.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Expenditures</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participate in global pharmaceutical and biotechnology industry; healthcare expenditure is expected to reach a compounded annual growth rate of 7% from 2020 to 2022 globally and for Latin America, when compared to 5% globally and 3% for Latin America for the period from 2016 to 2019, according to independent third-party industry reports. We believe this increase in expenditure will be primarily driven by an increasing middle class across Latin America coupled with a rapidly aging population, with the percentage of individuals over 65 years of age expected to increase from 6% in 2020 to 21% by 2050.</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Transformation Initiatives</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At the end of 2018, we began a process of updating our business model, migrating our product line management scheme to a B-to-B market scheme for our NextGel iCDMO business segment, and a B-to-C market scheme for its Farma Procaps, Clinical Specialties and VitalCare product lines by dividing them into business segments based on by strategic regions: Colombia, CASAND and CAN, while segmenting Diabetrics as its own business segment. This change in our operating model was formally implemented as of the first three months of 2019. As part of this change in management structure, we appointed executive vice presidents for each new segment/region and certain corporate areas that provide support and guidelines for each business segment.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Exchange Rates</w:t>
      </w:r>
    </w:p>
    <w:p>
      <w:pPr>
        <w:spacing w:after="0" w:line="198"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Our operating network is global, and, as a result, we have substantial revenues and operating expenses that are denominated in currencies other than the U.S. dollar, the currency in which we report our financial results, and are therefore influenced by changes in currency exchange rates. For the years ended December 31, 2021 and 2020, approximately 41% and 56% of our revenue, respectively, was generated in currencies other than the U.S. dollar. Functional foreign currencies for certain regional markets such as the Colombian Peso and Brazilian Real, where we have significant operations, have experienced significant decrease in value when compared with the U.S. dollar in 2021 and for the year ended December 31, 2020, as a result of several factors, such as the COVID-19 pandemic, which caused economic distress in those regional markets, significant fluctuation in oil prices and the political climate and uncertainty in such markets. As a result, the devaluation of the Colombian Peso and Brazilian Real had a negative impact on our results of operations for the years ended December 31, 2021 and 2020, especially gross profits and our margins.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CRITICAL ACCOUNTING ESTIMATES.</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discussion on our critical accounting estimates see Note 4 “Critical accounting judgements and key sources of estimation uncertainty” in our Annual Audited Consolidated Financial Statements, included elsewhere in this annual report.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91" w:name="page92"/>
    <w:bookmarkEnd w:id="91"/>
    <w:p>
      <w:pPr>
        <w:ind w:left="4"/>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 DIRECTORS AND SENIOR MANAGEMENT</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 Directors and Senior Management</w:t>
      </w:r>
    </w:p>
    <w:p>
      <w:pPr>
        <w:spacing w:after="0" w:line="202"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Set forth below is information concerning our officers and directors. Our executive officers are appointed by the board of directors to serve in their roles. Each executive officer is appointed for such term as may be prescribed by the board of directors or until a successor has been chosen and qualified or until such officer’s death, resignation or removal. The business address for each director is provided below.</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2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Age</w:t>
            </w:r>
          </w:p>
        </w:tc>
        <w:tc>
          <w:tcPr>
            <w:tcW w:w="200" w:type="dxa"/>
            <w:vAlign w:val="bottom"/>
            <w:tcBorders>
              <w:bottom w:val="single" w:sz="8" w:color="CCEEFF"/>
            </w:tcBorders>
          </w:tcPr>
          <w:p>
            <w:pPr>
              <w:spacing w:after="0"/>
              <w:rPr>
                <w:sz w:val="18"/>
                <w:szCs w:val="18"/>
                <w:color w:val="auto"/>
              </w:rPr>
            </w:pPr>
          </w:p>
        </w:tc>
        <w:tc>
          <w:tcPr>
            <w:tcW w:w="3380" w:type="dxa"/>
            <w:vAlign w:val="bottom"/>
            <w:tcBorders>
              <w:bottom w:val="single" w:sz="8" w:color="auto"/>
            </w:tcBorders>
          </w:tcPr>
          <w:p>
            <w:pPr>
              <w:ind w:left="1240"/>
              <w:spacing w:after="0"/>
              <w:rPr>
                <w:sz w:val="20"/>
                <w:szCs w:val="20"/>
                <w:color w:val="auto"/>
              </w:rPr>
            </w:pPr>
            <w:r>
              <w:rPr>
                <w:rFonts w:ascii="Arial" w:cs="Arial" w:eastAsia="Arial" w:hAnsi="Arial"/>
                <w:sz w:val="16"/>
                <w:szCs w:val="16"/>
                <w:b w:val="1"/>
                <w:bCs w:val="1"/>
                <w:color w:val="auto"/>
              </w:rPr>
              <w:t>Position Held</w:t>
            </w:r>
          </w:p>
        </w:tc>
        <w:tc>
          <w:tcPr>
            <w:tcW w:w="100" w:type="dxa"/>
            <w:vAlign w:val="bottom"/>
            <w:tcBorders>
              <w:bottom w:val="single" w:sz="8" w:color="CCEEFF"/>
            </w:tcBorders>
          </w:tcPr>
          <w:p>
            <w:pPr>
              <w:spacing w:after="0"/>
              <w:rPr>
                <w:sz w:val="18"/>
                <w:szCs w:val="18"/>
                <w:color w:val="auto"/>
              </w:rPr>
            </w:pPr>
          </w:p>
        </w:tc>
        <w:tc>
          <w:tcPr>
            <w:tcW w:w="3380" w:type="dxa"/>
            <w:vAlign w:val="bottom"/>
            <w:tcBorders>
              <w:bottom w:val="single" w:sz="8" w:color="auto"/>
            </w:tcBorders>
          </w:tcPr>
          <w:p>
            <w:pPr>
              <w:ind w:left="1280"/>
              <w:spacing w:after="0"/>
              <w:rPr>
                <w:sz w:val="20"/>
                <w:szCs w:val="20"/>
                <w:color w:val="auto"/>
              </w:rPr>
            </w:pPr>
            <w:r>
              <w:rPr>
                <w:rFonts w:ascii="Arial" w:cs="Arial" w:eastAsia="Arial" w:hAnsi="Arial"/>
                <w:sz w:val="16"/>
                <w:szCs w:val="16"/>
                <w:b w:val="1"/>
                <w:bCs w:val="1"/>
                <w:color w:val="auto"/>
              </w:rPr>
              <w:t>Committees</w:t>
            </w: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Ruben Minski</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70</w:t>
            </w:r>
          </w:p>
        </w:tc>
        <w:tc>
          <w:tcPr>
            <w:tcW w:w="20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Chairman of the Board</w:t>
            </w: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Mergers and Acquisitions</w:t>
            </w:r>
          </w:p>
        </w:tc>
        <w:tc>
          <w:tcPr>
            <w:tcW w:w="0" w:type="dxa"/>
            <w:vAlign w:val="bottom"/>
          </w:tcPr>
          <w:p>
            <w:pPr>
              <w:spacing w:after="0"/>
              <w:rPr>
                <w:sz w:val="1"/>
                <w:szCs w:val="1"/>
                <w:color w:val="auto"/>
              </w:rPr>
            </w:pPr>
          </w:p>
        </w:tc>
      </w:tr>
      <w:tr>
        <w:trPr>
          <w:trHeight w:val="227"/>
        </w:trPr>
        <w:tc>
          <w:tcPr>
            <w:tcW w:w="2940" w:type="dxa"/>
            <w:vAlign w:val="bottom"/>
            <w:gridSpan w:val="2"/>
          </w:tcPr>
          <w:p>
            <w:pPr>
              <w:spacing w:after="0" w:line="227" w:lineRule="exact"/>
              <w:rPr>
                <w:sz w:val="20"/>
                <w:szCs w:val="20"/>
                <w:color w:val="auto"/>
              </w:rPr>
            </w:pPr>
            <w:r>
              <w:rPr>
                <w:rFonts w:ascii="Arial" w:cs="Arial" w:eastAsia="Arial" w:hAnsi="Arial"/>
                <w:sz w:val="16"/>
                <w:szCs w:val="16"/>
                <w:color w:val="auto"/>
              </w:rPr>
              <w:t>Jose Minski</w:t>
            </w:r>
            <w:r>
              <w:rPr>
                <w:rFonts w:ascii="Arial" w:cs="Arial" w:eastAsia="Arial" w:hAnsi="Arial"/>
                <w:sz w:val="26"/>
                <w:szCs w:val="26"/>
                <w:color w:val="auto"/>
                <w:vertAlign w:val="superscript"/>
              </w:rPr>
              <w:t>(2)</w:t>
            </w:r>
          </w:p>
        </w:tc>
        <w:tc>
          <w:tcPr>
            <w:tcW w:w="1260" w:type="dxa"/>
            <w:vAlign w:val="bottom"/>
          </w:tcPr>
          <w:p>
            <w:pPr>
              <w:jc w:val="right"/>
              <w:ind w:right="420"/>
              <w:spacing w:after="0"/>
              <w:rPr>
                <w:sz w:val="20"/>
                <w:szCs w:val="20"/>
                <w:color w:val="auto"/>
              </w:rPr>
            </w:pPr>
            <w:r>
              <w:rPr>
                <w:rFonts w:ascii="Arial" w:cs="Arial" w:eastAsia="Arial" w:hAnsi="Arial"/>
                <w:sz w:val="16"/>
                <w:szCs w:val="16"/>
                <w:color w:val="auto"/>
              </w:rPr>
              <w:t>63</w:t>
            </w:r>
          </w:p>
        </w:tc>
        <w:tc>
          <w:tcPr>
            <w:tcW w:w="200" w:type="dxa"/>
            <w:vAlign w:val="bottom"/>
          </w:tcPr>
          <w:p>
            <w:pPr>
              <w:spacing w:after="0"/>
              <w:rPr>
                <w:sz w:val="19"/>
                <w:szCs w:val="19"/>
                <w:color w:val="auto"/>
              </w:rPr>
            </w:pPr>
          </w:p>
        </w:tc>
        <w:tc>
          <w:tcPr>
            <w:tcW w:w="3480" w:type="dxa"/>
            <w:vAlign w:val="bottom"/>
            <w:gridSpan w:val="2"/>
          </w:tcPr>
          <w:p>
            <w:pPr>
              <w:ind w:left="100"/>
              <w:spacing w:after="0"/>
              <w:rPr>
                <w:sz w:val="20"/>
                <w:szCs w:val="20"/>
                <w:color w:val="auto"/>
              </w:rPr>
            </w:pPr>
            <w:r>
              <w:rPr>
                <w:rFonts w:ascii="Arial" w:cs="Arial" w:eastAsia="Arial" w:hAnsi="Arial"/>
                <w:sz w:val="16"/>
                <w:szCs w:val="16"/>
                <w:color w:val="auto"/>
              </w:rPr>
              <w:t>Director</w:t>
            </w:r>
          </w:p>
        </w:tc>
        <w:tc>
          <w:tcPr>
            <w:tcW w:w="338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294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Alejandro Weinstein</w:t>
            </w:r>
            <w:r>
              <w:rPr>
                <w:rFonts w:ascii="Arial" w:cs="Arial" w:eastAsia="Arial" w:hAnsi="Arial"/>
                <w:sz w:val="26"/>
                <w:szCs w:val="26"/>
                <w:color w:val="auto"/>
                <w:vertAlign w:val="superscript"/>
              </w:rPr>
              <w:t>(3)</w:t>
            </w:r>
          </w:p>
        </w:tc>
        <w:tc>
          <w:tcPr>
            <w:tcW w:w="126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64</w:t>
            </w:r>
          </w:p>
        </w:tc>
        <w:tc>
          <w:tcPr>
            <w:tcW w:w="20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Director</w:t>
            </w: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Mergers and Acquisitions (Chair)</w:t>
            </w:r>
          </w:p>
        </w:tc>
        <w:tc>
          <w:tcPr>
            <w:tcW w:w="0" w:type="dxa"/>
            <w:vAlign w:val="bottom"/>
          </w:tcPr>
          <w:p>
            <w:pPr>
              <w:spacing w:after="0"/>
              <w:rPr>
                <w:sz w:val="1"/>
                <w:szCs w:val="1"/>
                <w:color w:val="auto"/>
              </w:rPr>
            </w:pPr>
          </w:p>
        </w:tc>
      </w:tr>
      <w:tr>
        <w:trPr>
          <w:trHeight w:val="179"/>
        </w:trPr>
        <w:tc>
          <w:tcPr>
            <w:tcW w:w="2940" w:type="dxa"/>
            <w:vAlign w:val="bottom"/>
            <w:gridSpan w:val="2"/>
          </w:tcPr>
          <w:p>
            <w:pPr>
              <w:spacing w:after="0" w:line="180" w:lineRule="exact"/>
              <w:rPr>
                <w:sz w:val="20"/>
                <w:szCs w:val="20"/>
                <w:color w:val="auto"/>
              </w:rPr>
            </w:pPr>
            <w:r>
              <w:rPr>
                <w:rFonts w:ascii="Arial" w:cs="Arial" w:eastAsia="Arial" w:hAnsi="Arial"/>
                <w:sz w:val="13"/>
                <w:szCs w:val="13"/>
                <w:color w:val="auto"/>
              </w:rPr>
              <w:t>Luis Fernando Castro</w:t>
            </w:r>
            <w:r>
              <w:rPr>
                <w:rFonts w:ascii="Arial" w:cs="Arial" w:eastAsia="Arial" w:hAnsi="Arial"/>
                <w:sz w:val="20"/>
                <w:szCs w:val="20"/>
                <w:color w:val="auto"/>
                <w:vertAlign w:val="superscript"/>
              </w:rPr>
              <w:t>(4)</w:t>
            </w:r>
          </w:p>
        </w:tc>
        <w:tc>
          <w:tcPr>
            <w:tcW w:w="1260" w:type="dxa"/>
            <w:vAlign w:val="bottom"/>
            <w:vMerge w:val="restart"/>
          </w:tcPr>
          <w:p>
            <w:pPr>
              <w:jc w:val="right"/>
              <w:ind w:right="420"/>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5"/>
                <w:szCs w:val="15"/>
                <w:color w:val="auto"/>
              </w:rPr>
            </w:pPr>
          </w:p>
        </w:tc>
        <w:tc>
          <w:tcPr>
            <w:tcW w:w="3480" w:type="dxa"/>
            <w:vAlign w:val="bottom"/>
            <w:gridSpan w:val="2"/>
            <w:vMerge w:val="restart"/>
          </w:tcPr>
          <w:p>
            <w:pPr>
              <w:ind w:left="100"/>
              <w:spacing w:after="0"/>
              <w:rPr>
                <w:sz w:val="20"/>
                <w:szCs w:val="20"/>
                <w:color w:val="auto"/>
              </w:rPr>
            </w:pPr>
            <w:r>
              <w:rPr>
                <w:rFonts w:ascii="Arial" w:cs="Arial" w:eastAsia="Arial" w:hAnsi="Arial"/>
                <w:sz w:val="16"/>
                <w:szCs w:val="16"/>
                <w:color w:val="auto"/>
              </w:rPr>
              <w:t>Director</w:t>
            </w:r>
          </w:p>
        </w:tc>
        <w:tc>
          <w:tcPr>
            <w:tcW w:w="3380" w:type="dxa"/>
            <w:vAlign w:val="bottom"/>
          </w:tcPr>
          <w:p>
            <w:pPr>
              <w:spacing w:after="0" w:line="179" w:lineRule="exact"/>
              <w:rPr>
                <w:sz w:val="20"/>
                <w:szCs w:val="20"/>
                <w:color w:val="auto"/>
              </w:rPr>
            </w:pPr>
            <w:r>
              <w:rPr>
                <w:rFonts w:ascii="Arial" w:cs="Arial" w:eastAsia="Arial" w:hAnsi="Arial"/>
                <w:sz w:val="16"/>
                <w:szCs w:val="16"/>
                <w:color w:val="auto"/>
                <w:w w:val="96"/>
              </w:rPr>
              <w:t>Compensation  (Chair),  Nominating  (Chair)  and</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480" w:type="dxa"/>
            <w:vAlign w:val="bottom"/>
            <w:gridSpan w:val="2"/>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227"/>
        </w:trPr>
        <w:tc>
          <w:tcPr>
            <w:tcW w:w="294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Daniel W. Fink</w:t>
            </w:r>
            <w:r>
              <w:rPr>
                <w:rFonts w:ascii="Arial" w:cs="Arial" w:eastAsia="Arial" w:hAnsi="Arial"/>
                <w:sz w:val="26"/>
                <w:szCs w:val="26"/>
                <w:color w:val="auto"/>
                <w:vertAlign w:val="superscript"/>
              </w:rPr>
              <w:t>(5)</w:t>
            </w:r>
          </w:p>
        </w:tc>
        <w:tc>
          <w:tcPr>
            <w:tcW w:w="126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Director</w:t>
            </w: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227"/>
        </w:trPr>
        <w:tc>
          <w:tcPr>
            <w:tcW w:w="2940" w:type="dxa"/>
            <w:vAlign w:val="bottom"/>
            <w:gridSpan w:val="2"/>
          </w:tcPr>
          <w:p>
            <w:pPr>
              <w:spacing w:after="0" w:line="227" w:lineRule="exact"/>
              <w:rPr>
                <w:sz w:val="20"/>
                <w:szCs w:val="20"/>
                <w:color w:val="auto"/>
              </w:rPr>
            </w:pPr>
            <w:r>
              <w:rPr>
                <w:rFonts w:ascii="Arial" w:cs="Arial" w:eastAsia="Arial" w:hAnsi="Arial"/>
                <w:sz w:val="16"/>
                <w:szCs w:val="16"/>
                <w:color w:val="auto"/>
              </w:rPr>
              <w:t>Kyle P Bransfield</w:t>
            </w:r>
            <w:r>
              <w:rPr>
                <w:rFonts w:ascii="Arial" w:cs="Arial" w:eastAsia="Arial" w:hAnsi="Arial"/>
                <w:sz w:val="26"/>
                <w:szCs w:val="26"/>
                <w:color w:val="auto"/>
                <w:vertAlign w:val="superscript"/>
              </w:rPr>
              <w:t>(6)</w:t>
            </w:r>
          </w:p>
        </w:tc>
        <w:tc>
          <w:tcPr>
            <w:tcW w:w="1260" w:type="dxa"/>
            <w:vAlign w:val="bottom"/>
          </w:tcPr>
          <w:p>
            <w:pPr>
              <w:jc w:val="right"/>
              <w:ind w:right="420"/>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9"/>
                <w:szCs w:val="19"/>
                <w:color w:val="auto"/>
              </w:rPr>
            </w:pPr>
          </w:p>
        </w:tc>
        <w:tc>
          <w:tcPr>
            <w:tcW w:w="3480" w:type="dxa"/>
            <w:vAlign w:val="bottom"/>
            <w:gridSpan w:val="2"/>
          </w:tcPr>
          <w:p>
            <w:pPr>
              <w:ind w:left="100"/>
              <w:spacing w:after="0"/>
              <w:rPr>
                <w:sz w:val="20"/>
                <w:szCs w:val="20"/>
                <w:color w:val="auto"/>
              </w:rPr>
            </w:pPr>
            <w:r>
              <w:rPr>
                <w:rFonts w:ascii="Arial" w:cs="Arial" w:eastAsia="Arial" w:hAnsi="Arial"/>
                <w:sz w:val="16"/>
                <w:szCs w:val="16"/>
                <w:color w:val="auto"/>
              </w:rPr>
              <w:t>Director</w:t>
            </w:r>
          </w:p>
        </w:tc>
        <w:tc>
          <w:tcPr>
            <w:tcW w:w="3380" w:type="dxa"/>
            <w:vAlign w:val="bottom"/>
          </w:tcPr>
          <w:p>
            <w:pPr>
              <w:spacing w:after="0"/>
              <w:rPr>
                <w:sz w:val="20"/>
                <w:szCs w:val="20"/>
                <w:color w:val="auto"/>
              </w:rPr>
            </w:pPr>
            <w:r>
              <w:rPr>
                <w:rFonts w:ascii="Arial" w:cs="Arial" w:eastAsia="Arial" w:hAnsi="Arial"/>
                <w:sz w:val="16"/>
                <w:szCs w:val="16"/>
                <w:color w:val="auto"/>
              </w:rPr>
              <w:t>Mergers and Acquisitions</w:t>
            </w:r>
          </w:p>
        </w:tc>
        <w:tc>
          <w:tcPr>
            <w:tcW w:w="0" w:type="dxa"/>
            <w:vAlign w:val="bottom"/>
          </w:tcPr>
          <w:p>
            <w:pPr>
              <w:spacing w:after="0"/>
              <w:rPr>
                <w:sz w:val="1"/>
                <w:szCs w:val="1"/>
                <w:color w:val="auto"/>
              </w:rPr>
            </w:pPr>
          </w:p>
        </w:tc>
      </w:tr>
      <w:tr>
        <w:trPr>
          <w:trHeight w:val="227"/>
        </w:trPr>
        <w:tc>
          <w:tcPr>
            <w:tcW w:w="294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David Yanovich</w:t>
            </w:r>
            <w:r>
              <w:rPr>
                <w:rFonts w:ascii="Arial" w:cs="Arial" w:eastAsia="Arial" w:hAnsi="Arial"/>
                <w:sz w:val="26"/>
                <w:szCs w:val="26"/>
                <w:color w:val="auto"/>
                <w:vertAlign w:val="superscript"/>
              </w:rPr>
              <w:t>(7)</w:t>
            </w:r>
          </w:p>
        </w:tc>
        <w:tc>
          <w:tcPr>
            <w:tcW w:w="126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51</w:t>
            </w:r>
          </w:p>
        </w:tc>
        <w:tc>
          <w:tcPr>
            <w:tcW w:w="20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Director</w:t>
            </w: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Compensation, Nominating and Audit (Chair)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9070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95" w:lineRule="exact"/>
        <w:rPr>
          <w:sz w:val="20"/>
          <w:szCs w:val="20"/>
          <w:color w:val="auto"/>
        </w:rPr>
      </w:pPr>
    </w:p>
    <w:p>
      <w:pPr>
        <w:ind w:left="284" w:hanging="284"/>
        <w:spacing w:after="0"/>
        <w:tabs>
          <w:tab w:leader="none" w:pos="2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business address of Mr. Ruben Minski is Calle 80 No. 78B-201, Barranquilla, Atlántico, Colombia.</w:t>
      </w:r>
    </w:p>
    <w:p>
      <w:pPr>
        <w:spacing w:after="0" w:line="19" w:lineRule="exact"/>
        <w:rPr>
          <w:rFonts w:ascii="Arial" w:cs="Arial" w:eastAsia="Arial" w:hAnsi="Arial"/>
          <w:sz w:val="16"/>
          <w:szCs w:val="16"/>
          <w:color w:val="auto"/>
        </w:rPr>
      </w:pPr>
    </w:p>
    <w:p>
      <w:pPr>
        <w:ind w:left="284" w:hanging="284"/>
        <w:spacing w:after="0"/>
        <w:tabs>
          <w:tab w:leader="none" w:pos="2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business address of Mr. Jose Minski is 21500 Biscayne Boulevard, Suite 600, Aventura, Florida 33180.</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business address of Mr. Weinstein is Calle 80 No. 78B-201, Barranquilla, Atlántico, Colombia.</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business address of Mr. Castro is Calle 80 No. 78B-201, Barranquilla, Atlántico, Colombia.</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business address Mr. Fink is 1425 Brickell Ave., #57B, Miami, FL 33131</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business address of Mr. Bransfield is 1425 Brickell Ave., #57B, Miami, FL 33131</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business address of Mr. Yanovich is Calle 80 No. 78B-201, Barranquilla, Atlántico, Colombia.</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Background of Our Directors</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following is a brief biography of each of our directors:</w:t>
      </w:r>
    </w:p>
    <w:p>
      <w:pPr>
        <w:spacing w:after="0" w:line="198" w:lineRule="exact"/>
        <w:rPr>
          <w:sz w:val="20"/>
          <w:szCs w:val="20"/>
          <w:color w:val="auto"/>
        </w:rPr>
      </w:pPr>
    </w:p>
    <w:p>
      <w:pPr>
        <w:jc w:val="both"/>
        <w:ind w:left="4" w:right="20" w:firstLine="574"/>
        <w:spacing w:after="0" w:line="255" w:lineRule="auto"/>
        <w:rPr>
          <w:sz w:val="20"/>
          <w:szCs w:val="20"/>
          <w:color w:val="auto"/>
        </w:rPr>
      </w:pPr>
      <w:r>
        <w:rPr>
          <w:rFonts w:ascii="Arial" w:cs="Arial" w:eastAsia="Arial" w:hAnsi="Arial"/>
          <w:sz w:val="16"/>
          <w:szCs w:val="16"/>
          <w:b w:val="1"/>
          <w:bCs w:val="1"/>
          <w:i w:val="1"/>
          <w:iCs w:val="1"/>
          <w:color w:val="auto"/>
        </w:rPr>
        <w:t xml:space="preserve">Ruben Minski. </w:t>
      </w:r>
      <w:r>
        <w:rPr>
          <w:rFonts w:ascii="Arial" w:cs="Arial" w:eastAsia="Arial" w:hAnsi="Arial"/>
          <w:sz w:val="16"/>
          <w:szCs w:val="16"/>
          <w:color w:val="auto"/>
        </w:rPr>
        <w:t>Mr. Ruben Minski has been our founder and Chief Executive Officer since 1976. Mr. Ruben Minski received a Chemical Engineering degree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Northeastern University in Boston, Massachusetts. He also participated in the Owners/President Management program at the Harvard Business School, and the CEOs’ II: The Next Step in Strategic Management and the CEOs’ Management Programs at Northwestern University’s Kellogg School of Management. Currently, he is a member of our board of directors and the board of directors of Crynssen, Union, Gelco S.A.S., Descafeinadora Colombiana S.A. — Descafecol and Endeavor Colombia. Ruben Minski is the brother of Jose Minski, a member of our board of directors.</w:t>
      </w:r>
    </w:p>
    <w:p>
      <w:pPr>
        <w:spacing w:after="0" w:line="170" w:lineRule="exact"/>
        <w:rPr>
          <w:sz w:val="20"/>
          <w:szCs w:val="20"/>
          <w:color w:val="auto"/>
        </w:rPr>
      </w:pPr>
    </w:p>
    <w:p>
      <w:pPr>
        <w:jc w:val="both"/>
        <w:ind w:left="4" w:right="20" w:firstLine="574"/>
        <w:spacing w:after="0" w:line="276" w:lineRule="auto"/>
        <w:rPr>
          <w:sz w:val="20"/>
          <w:szCs w:val="20"/>
          <w:color w:val="auto"/>
        </w:rPr>
      </w:pPr>
      <w:r>
        <w:rPr>
          <w:rFonts w:ascii="Arial" w:cs="Arial" w:eastAsia="Arial" w:hAnsi="Arial"/>
          <w:sz w:val="15"/>
          <w:szCs w:val="15"/>
          <w:b w:val="1"/>
          <w:bCs w:val="1"/>
          <w:i w:val="1"/>
          <w:iCs w:val="1"/>
          <w:color w:val="auto"/>
        </w:rPr>
        <w:t xml:space="preserve">Jose Minski. </w:t>
      </w:r>
      <w:r>
        <w:rPr>
          <w:rFonts w:ascii="Arial" w:cs="Arial" w:eastAsia="Arial" w:hAnsi="Arial"/>
          <w:sz w:val="15"/>
          <w:szCs w:val="15"/>
          <w:color w:val="auto"/>
        </w:rPr>
        <w:t>Mr. Jose Minski holds a BS in Management Engineering from Worcester Polytechnic Institute and a Certificate in Mergers and Acquisitions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Northwestern University’s Kellogg School of Management. He has more than 35 years of experience working in the health, wellness and consumer goods sectors. He is a co-founder of WM Partners LP, a middle-market private equity firm focused on the health and wellness industry. He currently serves on our board of directors and also serves on the boards of directors of Gelco S.A.S. and Descafeinadora Colombiana S.A. — Descafecol. He previously served as Chief Executive Officer of Nutranext LLC. Jose Minski is the brother of Ruben Minski, our Chief Executive Officer and Chairman of our board of directors.</w:t>
      </w:r>
    </w:p>
    <w:p>
      <w:pPr>
        <w:spacing w:after="0" w:line="155" w:lineRule="exact"/>
        <w:rPr>
          <w:sz w:val="20"/>
          <w:szCs w:val="20"/>
          <w:color w:val="auto"/>
        </w:rPr>
      </w:pPr>
    </w:p>
    <w:p>
      <w:pPr>
        <w:jc w:val="both"/>
        <w:ind w:left="4" w:firstLine="574"/>
        <w:spacing w:after="0" w:line="271" w:lineRule="auto"/>
        <w:rPr>
          <w:sz w:val="20"/>
          <w:szCs w:val="20"/>
          <w:color w:val="auto"/>
        </w:rPr>
      </w:pPr>
      <w:r>
        <w:rPr>
          <w:rFonts w:ascii="Arial" w:cs="Arial" w:eastAsia="Arial" w:hAnsi="Arial"/>
          <w:sz w:val="15"/>
          <w:szCs w:val="15"/>
          <w:b w:val="1"/>
          <w:bCs w:val="1"/>
          <w:i w:val="1"/>
          <w:iCs w:val="1"/>
          <w:color w:val="auto"/>
        </w:rPr>
        <w:t xml:space="preserve">Alejandro Weinstein. </w:t>
      </w:r>
      <w:r>
        <w:rPr>
          <w:rFonts w:ascii="Arial" w:cs="Arial" w:eastAsia="Arial" w:hAnsi="Arial"/>
          <w:sz w:val="15"/>
          <w:szCs w:val="15"/>
          <w:color w:val="auto"/>
        </w:rPr>
        <w:t>Mr. Weinstein holds a Business Administration degree from the Universidad Catolica de Chile and participated in the Owner/President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Management Program at Harvard Business School. He is a Certified Public Auditor and accountant and has more than 30 years of experience in the healthcare and wellness industries, both operating and investing. He is a co-founder of WM Partners LP, a middle-market private equity firm focused on the health and wellness industry. He is also an investor and General Partner of Olive Tree Venture (OTV), an Israel based venture capital fund, as well as investor and Principal of Vanterra Capital. Mr. Weinstein also serves on our board of directors and several private companies, and is currently a nominee to serve as a director for L Catterton Latin America Acquisition Corp, a blank check company incorporated as a Cayman Islands exempted company for the purpose of effecting a merger, share exchange, asset acquisition, share purchase, reorganization or similar business combination with one or more businesses or entities. Previously, Mr. Weinstein served as Chief Executive Officer of CFR Pharmaceuticals S.A. (“CFR”) for 10 years. As Chief Executive Officer of CFR, he transformed CFR from a local Chilean pharmaceutical company into a global pharmaceutical player. Mr. Weinstein has been involved in several exit transactions and has extensive M&amp;A transaction experience.</w:t>
      </w:r>
    </w:p>
    <w:p>
      <w:pPr>
        <w:spacing w:after="0" w:line="35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92" w:name="page93"/>
    <w:bookmarkEnd w:id="92"/>
    <w:p>
      <w:pPr>
        <w:jc w:val="both"/>
        <w:ind w:firstLine="574"/>
        <w:spacing w:after="0" w:line="255" w:lineRule="auto"/>
        <w:rPr>
          <w:sz w:val="20"/>
          <w:szCs w:val="20"/>
          <w:color w:val="auto"/>
        </w:rPr>
      </w:pPr>
      <w:r>
        <w:rPr>
          <w:rFonts w:ascii="Arial" w:cs="Arial" w:eastAsia="Arial" w:hAnsi="Arial"/>
          <w:sz w:val="16"/>
          <w:szCs w:val="16"/>
          <w:b w:val="1"/>
          <w:bCs w:val="1"/>
          <w:i w:val="1"/>
          <w:iCs w:val="1"/>
          <w:color w:val="auto"/>
        </w:rPr>
        <w:t>Luis Fernando Castro</w:t>
      </w:r>
      <w:r>
        <w:rPr>
          <w:rFonts w:ascii="Arial" w:cs="Arial" w:eastAsia="Arial" w:hAnsi="Arial"/>
          <w:sz w:val="16"/>
          <w:szCs w:val="16"/>
          <w:color w:val="auto"/>
        </w:rPr>
        <w:t>. Mr. Castro holds a BS in Mathematics from Fordham University, a BS in Industrial Engineering from Columbia University and an MBA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Universidad de los Andes Bogota in Colombia. He has 28 years of experience in the financial, construction, infrastructure and agroindustry sectors. He previously served as Chief Executive Officer of Banco Colombiano de Comercio Exterior S.A., Colombia’s development bank and has been an entrepreneur. Currently, he is fund manager of a private equity fund in the agribusiness sector and serves as a member of our board of directors, and on the boards of Tecnoglass INC. (TGLS), Castro Tcherassi SA (infrastructure and construction), and Accenorte S.A.S. and Devimed S.A, both road concessions.</w:t>
      </w:r>
    </w:p>
    <w:p>
      <w:pPr>
        <w:spacing w:after="0" w:line="170"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b w:val="1"/>
          <w:bCs w:val="1"/>
          <w:i w:val="1"/>
          <w:iCs w:val="1"/>
          <w:color w:val="auto"/>
        </w:rPr>
        <w:t>Daniel W. Fink</w:t>
      </w:r>
      <w:r>
        <w:rPr>
          <w:rFonts w:ascii="Arial" w:cs="Arial" w:eastAsia="Arial" w:hAnsi="Arial"/>
          <w:sz w:val="14"/>
          <w:szCs w:val="14"/>
          <w:color w:val="auto"/>
        </w:rPr>
        <w:t>. Mr. Fink serves as a Senior Vice President for Corporate M&amp;A at PepsiCo, Inc. since February 2022. He previously served as the Chief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Officer and a Director of Union until the Closing of the Business Combination and as a Director of Union Acquisition Corp. until it completed its merger with Bioceres in March 2019. Mr. Fink was also a Managing Principal at Blue Moose of Boulder, an emerging natural foods company, from October 2015 until January 2022. Mr. Fink has spent the majority of his career in investment banking and consumer private equity, including working at Morgan Stanley from 1999 to 2001, J.W. Childs Associates, L.P. from 2001 to 2007, Stone Tower Equity Partners from 2007 to 2008 and Centerview Capital from 2009 to 2013. From 2013 to 2015, Mr. Fink was at Bacardi Limited where he served as Vice President of Finance/Business Planning. Mr. Fink received a BA in Economics from Yale University and an MBA from Harvard Business School.</w:t>
      </w:r>
    </w:p>
    <w:p>
      <w:pPr>
        <w:spacing w:after="0" w:line="143"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b w:val="1"/>
          <w:bCs w:val="1"/>
          <w:i w:val="1"/>
          <w:iCs w:val="1"/>
          <w:color w:val="auto"/>
        </w:rPr>
        <w:t>Kyle P. Bransfield</w:t>
      </w:r>
      <w:r>
        <w:rPr>
          <w:rFonts w:ascii="Arial" w:cs="Arial" w:eastAsia="Arial" w:hAnsi="Arial"/>
          <w:sz w:val="14"/>
          <w:szCs w:val="14"/>
          <w:color w:val="auto"/>
        </w:rPr>
        <w:t>. Mr. Bransfield currently serves as the President, the Chief Executive Officer and a director of Union Finance Corp. since its inception in 2021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the Chief Executive Officer and a director of Union III since June 2020 and of UGC since April 2021. He has also served as director of Union I since November 2017 and as its Chief Executive Officer from December 2017 until it completed its merger with Bioceres in March 2019 and served as Chief Executive Officer and a director of Union since its inception until the Closing of the Business Combination. Mr. Bransfield currently serves on the board of Procaps, Bioceres Crop Solutions (NYSE American: BIOX), and sits on the audit, compensation, and nominating and governance committees. Mr. Bransfield is Founder and CEO of Union Acquisition Group a private and public markets investment firm. Prior to Union Acquisition Group, Mr. Bransfield was a Partner at Exos Technology Financial Partners where he established a SPAC Asset Management business through the formation of Exos SPAC Opportunities I and the Morgan Creek-Exos SPAC+ Fund. Prior to Exos, Mr. Bransfield was a Partner of Atlantic-Pacific Capital and led the firm’s global direct private placement and structured investment activities beginning in 2015. Mr. Bransfield has over 13 years of experience in direct equity and debt private markets principal investing, capital raising, and investment banking. Prior to joining Atlantic-Pacific, Mr. Bransfield was an investment banker in Sagent Advisors’ Private Financing Solutions Group (“Sagent”) from 2014 to 2015. Prior to Sagent, Mr. Bransfield spent five years from 2009 to 2014 as a Principal and General Partner at CS Capital Partners, a Philadelphia-based multi-family office focused on alternative investments. In his role there, he co-managed a portfolio.</w:t>
      </w:r>
    </w:p>
    <w:p>
      <w:pPr>
        <w:spacing w:after="0" w:line="147"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i w:val="1"/>
          <w:iCs w:val="1"/>
          <w:color w:val="auto"/>
        </w:rPr>
        <w:t>David Yanovich</w:t>
      </w:r>
      <w:r>
        <w:rPr>
          <w:rFonts w:ascii="Arial" w:cs="Arial" w:eastAsia="Arial" w:hAnsi="Arial"/>
          <w:sz w:val="16"/>
          <w:szCs w:val="16"/>
          <w:color w:val="auto"/>
        </w:rPr>
        <w:t>. Mr. Yanovich holds a master’s degree in Economics from the London School of Economics and a BS in Industrial Engineering from Universidad 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 Andes in Colombia. He has more than 25 years of experience in investment banking and project structuring, particularly in the mining and energy industries. He currently serves as President at Cerrito Capital S.A.S, an advisory, consulting and investment banking firm focused on the Colombian market. He previously served as General Manager at Colgener S.A. and as Director of Investment Banking at Corfivalle. He currently serves as a director on the boards of Oleoducto Central S.A, Celsia S.A., Proterra S.A., Crynssen Pharma Group Ltd, LarrainVial Colombia S.A. and Suramericana S.A. He also volunteers his time and is involved as a director of the Best Buddies Foundation in Colombia.</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auto"/>
        </w:rPr>
        <w:t>Our Senior Management</w:t>
      </w:r>
    </w:p>
    <w:p>
      <w:pPr>
        <w:spacing w:after="0" w:line="20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Our senior management oversees our day-to-day operations to ensure that our overall strategic objectives are implemented and reports to our board of directors. The names, ages, and current positions of our current senior management team are listed in the table below. For biographical information concerning Mr. Ruben Minski, see “— Background of Our Directors” above. The business address for our senior management team is Calle 80 No. 78B-201, Barranquilla, Atlántico, Colombia.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20" w:type="dxa"/>
            <w:vAlign w:val="bottom"/>
          </w:tcPr>
          <w:p>
            <w:pPr>
              <w:spacing w:after="0"/>
              <w:rPr>
                <w:sz w:val="18"/>
                <w:szCs w:val="18"/>
                <w:color w:val="auto"/>
              </w:rPr>
            </w:pPr>
          </w:p>
        </w:tc>
        <w:tc>
          <w:tcPr>
            <w:tcW w:w="6300" w:type="dxa"/>
            <w:vAlign w:val="bottom"/>
          </w:tcPr>
          <w:p>
            <w:pPr>
              <w:ind w:left="2680"/>
              <w:spacing w:after="0"/>
              <w:rPr>
                <w:sz w:val="20"/>
                <w:szCs w:val="20"/>
                <w:color w:val="auto"/>
              </w:rPr>
            </w:pPr>
            <w:r>
              <w:rPr>
                <w:rFonts w:ascii="Arial" w:cs="Arial" w:eastAsia="Arial" w:hAnsi="Arial"/>
                <w:sz w:val="16"/>
                <w:szCs w:val="16"/>
                <w:b w:val="1"/>
                <w:bCs w:val="1"/>
                <w:color w:val="auto"/>
              </w:rPr>
              <w:t>Position Held</w:t>
            </w:r>
          </w:p>
        </w:tc>
      </w:tr>
      <w:tr>
        <w:trPr>
          <w:trHeight w:val="207"/>
        </w:trPr>
        <w:tc>
          <w:tcPr>
            <w:tcW w:w="39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Ruben Minski</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3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Chief Executive Officer</w:t>
            </w:r>
          </w:p>
        </w:tc>
      </w:tr>
      <w:tr>
        <w:trPr>
          <w:trHeight w:val="204"/>
        </w:trPr>
        <w:tc>
          <w:tcPr>
            <w:tcW w:w="4060" w:type="dxa"/>
            <w:vAlign w:val="bottom"/>
            <w:gridSpan w:val="2"/>
          </w:tcPr>
          <w:p>
            <w:pPr>
              <w:spacing w:after="0"/>
              <w:rPr>
                <w:sz w:val="20"/>
                <w:szCs w:val="20"/>
                <w:color w:val="auto"/>
              </w:rPr>
            </w:pPr>
            <w:r>
              <w:rPr>
                <w:rFonts w:ascii="Arial" w:cs="Arial" w:eastAsia="Arial" w:hAnsi="Arial"/>
                <w:sz w:val="16"/>
                <w:szCs w:val="16"/>
                <w:color w:val="auto"/>
              </w:rPr>
              <w:t>Dr. Camilo Camacho</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6420" w:type="dxa"/>
            <w:vAlign w:val="bottom"/>
            <w:gridSpan w:val="2"/>
          </w:tcPr>
          <w:p>
            <w:pPr>
              <w:ind w:left="120"/>
              <w:spacing w:after="0"/>
              <w:rPr>
                <w:sz w:val="20"/>
                <w:szCs w:val="20"/>
                <w:color w:val="auto"/>
              </w:rPr>
            </w:pPr>
            <w:r>
              <w:rPr>
                <w:rFonts w:ascii="Arial" w:cs="Arial" w:eastAsia="Arial" w:hAnsi="Arial"/>
                <w:sz w:val="16"/>
                <w:szCs w:val="16"/>
                <w:color w:val="auto"/>
              </w:rPr>
              <w:t>President</w:t>
            </w:r>
          </w:p>
        </w:tc>
      </w:tr>
      <w:tr>
        <w:trPr>
          <w:trHeight w:val="23"/>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07"/>
        </w:trPr>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Patricio Vargas Muñoz</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49</w:t>
            </w:r>
          </w:p>
        </w:tc>
        <w:tc>
          <w:tcPr>
            <w:tcW w:w="6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Chief Financial Officer</w:t>
            </w:r>
          </w:p>
        </w:tc>
      </w:tr>
      <w:tr>
        <w:trPr>
          <w:trHeight w:val="204"/>
        </w:trPr>
        <w:tc>
          <w:tcPr>
            <w:tcW w:w="4060" w:type="dxa"/>
            <w:vAlign w:val="bottom"/>
            <w:gridSpan w:val="2"/>
          </w:tcPr>
          <w:p>
            <w:pPr>
              <w:spacing w:after="0"/>
              <w:rPr>
                <w:sz w:val="20"/>
                <w:szCs w:val="20"/>
                <w:color w:val="auto"/>
              </w:rPr>
            </w:pPr>
            <w:r>
              <w:rPr>
                <w:rFonts w:ascii="Arial" w:cs="Arial" w:eastAsia="Arial" w:hAnsi="Arial"/>
                <w:sz w:val="16"/>
                <w:szCs w:val="16"/>
                <w:color w:val="auto"/>
              </w:rPr>
              <w:t>Carlos Piocuda Russo</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37</w:t>
            </w:r>
          </w:p>
        </w:tc>
        <w:tc>
          <w:tcPr>
            <w:tcW w:w="6420" w:type="dxa"/>
            <w:vAlign w:val="bottom"/>
            <w:gridSpan w:val="2"/>
          </w:tcPr>
          <w:p>
            <w:pPr>
              <w:ind w:left="120"/>
              <w:spacing w:after="0"/>
              <w:rPr>
                <w:sz w:val="20"/>
                <w:szCs w:val="20"/>
                <w:color w:val="auto"/>
              </w:rPr>
            </w:pPr>
            <w:r>
              <w:rPr>
                <w:rFonts w:ascii="Arial" w:cs="Arial" w:eastAsia="Arial" w:hAnsi="Arial"/>
                <w:sz w:val="16"/>
                <w:szCs w:val="16"/>
                <w:color w:val="auto"/>
              </w:rPr>
              <w:t>Vice-President of Corporate Finance</w:t>
            </w:r>
          </w:p>
        </w:tc>
      </w:tr>
      <w:tr>
        <w:trPr>
          <w:trHeight w:val="23"/>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07"/>
        </w:trPr>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Grethel Moreno Romero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6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Vice-President of Audit and Internal Controls</w:t>
            </w:r>
          </w:p>
        </w:tc>
      </w:tr>
      <w:tr>
        <w:trPr>
          <w:trHeight w:val="204"/>
        </w:trPr>
        <w:tc>
          <w:tcPr>
            <w:tcW w:w="4060" w:type="dxa"/>
            <w:vAlign w:val="bottom"/>
            <w:gridSpan w:val="2"/>
          </w:tcPr>
          <w:p>
            <w:pPr>
              <w:spacing w:after="0"/>
              <w:rPr>
                <w:sz w:val="20"/>
                <w:szCs w:val="20"/>
                <w:color w:val="auto"/>
              </w:rPr>
            </w:pPr>
            <w:r>
              <w:rPr>
                <w:rFonts w:ascii="Arial" w:cs="Arial" w:eastAsia="Arial" w:hAnsi="Arial"/>
                <w:sz w:val="16"/>
                <w:szCs w:val="16"/>
                <w:color w:val="auto"/>
              </w:rPr>
              <w:t>Marcela Carvajalino Pagano</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6420" w:type="dxa"/>
            <w:vAlign w:val="bottom"/>
            <w:gridSpan w:val="2"/>
          </w:tcPr>
          <w:p>
            <w:pPr>
              <w:ind w:left="120"/>
              <w:spacing w:after="0"/>
              <w:rPr>
                <w:sz w:val="20"/>
                <w:szCs w:val="20"/>
                <w:color w:val="auto"/>
              </w:rPr>
            </w:pPr>
            <w:r>
              <w:rPr>
                <w:rFonts w:ascii="Arial" w:cs="Arial" w:eastAsia="Arial" w:hAnsi="Arial"/>
                <w:sz w:val="16"/>
                <w:szCs w:val="16"/>
                <w:color w:val="auto"/>
              </w:rPr>
              <w:t>Vice-President of Corporate and Legal Affairs</w:t>
            </w:r>
          </w:p>
        </w:tc>
      </w:tr>
      <w:tr>
        <w:trPr>
          <w:trHeight w:val="23"/>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07"/>
        </w:trPr>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Mauricio Castañeda Caballero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6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Vice-President of Human Resources</w:t>
            </w:r>
          </w:p>
        </w:tc>
      </w:tr>
      <w:tr>
        <w:trPr>
          <w:trHeight w:val="204"/>
        </w:trPr>
        <w:tc>
          <w:tcPr>
            <w:tcW w:w="4060" w:type="dxa"/>
            <w:vAlign w:val="bottom"/>
            <w:gridSpan w:val="2"/>
          </w:tcPr>
          <w:p>
            <w:pPr>
              <w:spacing w:after="0"/>
              <w:rPr>
                <w:sz w:val="20"/>
                <w:szCs w:val="20"/>
                <w:color w:val="auto"/>
              </w:rPr>
            </w:pPr>
            <w:r>
              <w:rPr>
                <w:rFonts w:ascii="Arial" w:cs="Arial" w:eastAsia="Arial" w:hAnsi="Arial"/>
                <w:sz w:val="16"/>
                <w:szCs w:val="16"/>
                <w:color w:val="auto"/>
              </w:rPr>
              <w:t>Luis Alberto Palacios Aragon</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6420" w:type="dxa"/>
            <w:vAlign w:val="bottom"/>
            <w:gridSpan w:val="2"/>
          </w:tcPr>
          <w:p>
            <w:pPr>
              <w:ind w:left="120"/>
              <w:spacing w:after="0"/>
              <w:rPr>
                <w:sz w:val="20"/>
                <w:szCs w:val="20"/>
                <w:color w:val="auto"/>
              </w:rPr>
            </w:pPr>
            <w:r>
              <w:rPr>
                <w:rFonts w:ascii="Arial" w:cs="Arial" w:eastAsia="Arial" w:hAnsi="Arial"/>
                <w:sz w:val="16"/>
                <w:szCs w:val="16"/>
                <w:color w:val="auto"/>
              </w:rPr>
              <w:t>Vice-President of International Marketing and R&amp;D</w:t>
            </w:r>
          </w:p>
        </w:tc>
      </w:tr>
    </w:tbl>
    <w:p>
      <w:pPr>
        <w:spacing w:after="0" w:line="20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i w:val="1"/>
          <w:iCs w:val="1"/>
          <w:color w:val="auto"/>
        </w:rPr>
        <w:t xml:space="preserve">Dr. Camilo Camacho. </w:t>
      </w:r>
      <w:r>
        <w:rPr>
          <w:rFonts w:ascii="Arial" w:cs="Arial" w:eastAsia="Arial" w:hAnsi="Arial"/>
          <w:sz w:val="16"/>
          <w:szCs w:val="16"/>
          <w:color w:val="auto"/>
        </w:rPr>
        <w:t>Dr. Camacho has served as our President since April 2021. Prior to joining Procaps, Dr. Camacho served as General Manager at Abbott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Laboratories’ Established Pharmaceutical Division (EPD) of the Colombia region from 2014 to 2018 and of the North Latin America region from 2018 to 2021. There he led the integration of Abbott Laboratories in Colombia after its acquisition of CFR Pharmaceuticals, and after Laboratorio Franco Colombiano Lafrancol S.A.S. (“Lafrancol”) was acquired by CFR Pharmaceuticals in Colombia. Previously he worked for CFR Recalcine Colombia as a General Manager, Lafrancol as Vice President and Novartis de Colombia as Product Manager. He received his Medical Degree from the </w:t>
      </w:r>
      <w:r>
        <w:rPr>
          <w:rFonts w:ascii="Arial" w:cs="Arial" w:eastAsia="Arial" w:hAnsi="Arial"/>
          <w:sz w:val="16"/>
          <w:szCs w:val="16"/>
          <w:i w:val="1"/>
          <w:iCs w:val="1"/>
          <w:color w:val="auto"/>
        </w:rPr>
        <w:t>Escuela Colombiana de Medicina</w:t>
      </w:r>
      <w:r>
        <w:rPr>
          <w:rFonts w:ascii="Arial" w:cs="Arial" w:eastAsia="Arial" w:hAnsi="Arial"/>
          <w:sz w:val="16"/>
          <w:szCs w:val="16"/>
          <w:color w:val="auto"/>
        </w:rPr>
        <w:t xml:space="preserve">, Colombia, a Specialist in Pharmacology from the </w:t>
      </w:r>
      <w:r>
        <w:rPr>
          <w:rFonts w:ascii="Arial" w:cs="Arial" w:eastAsia="Arial" w:hAnsi="Arial"/>
          <w:sz w:val="16"/>
          <w:szCs w:val="16"/>
          <w:i w:val="1"/>
          <w:iCs w:val="1"/>
          <w:color w:val="auto"/>
        </w:rPr>
        <w:t>Universidad</w:t>
      </w:r>
      <w:r>
        <w:rPr>
          <w:rFonts w:ascii="Arial" w:cs="Arial" w:eastAsia="Arial" w:hAnsi="Arial"/>
          <w:sz w:val="16"/>
          <w:szCs w:val="16"/>
          <w:color w:val="auto"/>
        </w:rPr>
        <w:t xml:space="preserve"> </w:t>
      </w:r>
      <w:r>
        <w:rPr>
          <w:rFonts w:ascii="Arial" w:cs="Arial" w:eastAsia="Arial" w:hAnsi="Arial"/>
          <w:sz w:val="16"/>
          <w:szCs w:val="16"/>
          <w:i w:val="1"/>
          <w:iCs w:val="1"/>
          <w:color w:val="auto"/>
        </w:rPr>
        <w:t>Nacional de Colombia</w:t>
      </w:r>
      <w:r>
        <w:rPr>
          <w:rFonts w:ascii="Arial" w:cs="Arial" w:eastAsia="Arial" w:hAnsi="Arial"/>
          <w:sz w:val="16"/>
          <w:szCs w:val="16"/>
          <w:color w:val="auto"/>
        </w:rPr>
        <w:t>, and an MBA from the INALDE Business School Colombia.</w:t>
      </w:r>
    </w:p>
    <w:p>
      <w:pPr>
        <w:spacing w:after="0" w:line="170"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b w:val="1"/>
          <w:bCs w:val="1"/>
          <w:i w:val="1"/>
          <w:iCs w:val="1"/>
          <w:color w:val="auto"/>
        </w:rPr>
        <w:t xml:space="preserve">Patricio Vargas Muñoz. </w:t>
      </w:r>
      <w:r>
        <w:rPr>
          <w:rFonts w:ascii="Arial" w:cs="Arial" w:eastAsia="Arial" w:hAnsi="Arial"/>
          <w:sz w:val="14"/>
          <w:szCs w:val="14"/>
          <w:color w:val="auto"/>
        </w:rPr>
        <w:t>Mr. Vargas serves as our Chief Financial Officer. Mr. Vargas has 24 years of public company experience in finance and business development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with senior executive roles held in multinational corporations. Mr. Vargas previously served as Finance Vice President &amp; Treasurer at Empresas CMPC S.A. (CMPC.CL), a pulp and paper company with more than $5 billion in revenue that produces and markets solid wood products, pulp, paper, tissue, personal care and packaging products in Latin America. Prior to that, Mr. Vargas served as Chief Financial Officer of CMPC Biopackaging S.A. from September 2018 to December 2020 and Chief Executive Officer of Agrofoods Central Valley Chile S.A., an international food processor, from November 2015 to October 2017. Prior to that, Mr. Vargas was the Chief Financial Officer of CFR from August 2010 until January 2015. Mr. Vargas holds an Engineering degree, with specialization in Electrical and Industrial Engineering, from </w:t>
      </w:r>
      <w:r>
        <w:rPr>
          <w:rFonts w:ascii="Arial" w:cs="Arial" w:eastAsia="Arial" w:hAnsi="Arial"/>
          <w:sz w:val="14"/>
          <w:szCs w:val="14"/>
          <w:i w:val="1"/>
          <w:iCs w:val="1"/>
          <w:color w:val="auto"/>
        </w:rPr>
        <w:t>Universidad Católica de</w:t>
      </w:r>
      <w:r>
        <w:rPr>
          <w:rFonts w:ascii="Arial" w:cs="Arial" w:eastAsia="Arial" w:hAnsi="Arial"/>
          <w:sz w:val="14"/>
          <w:szCs w:val="14"/>
          <w:color w:val="auto"/>
        </w:rPr>
        <w:t xml:space="preserve"> </w:t>
      </w:r>
      <w:r>
        <w:rPr>
          <w:rFonts w:ascii="Arial" w:cs="Arial" w:eastAsia="Arial" w:hAnsi="Arial"/>
          <w:sz w:val="14"/>
          <w:szCs w:val="14"/>
          <w:i w:val="1"/>
          <w:iCs w:val="1"/>
          <w:color w:val="auto"/>
        </w:rPr>
        <w:t>Chile</w:t>
      </w:r>
      <w:r>
        <w:rPr>
          <w:rFonts w:ascii="Arial" w:cs="Arial" w:eastAsia="Arial" w:hAnsi="Arial"/>
          <w:sz w:val="14"/>
          <w:szCs w:val="14"/>
          <w:color w:val="auto"/>
        </w:rPr>
        <w:t>, as well as an MBA from</w:t>
      </w:r>
      <w:r>
        <w:rPr>
          <w:rFonts w:ascii="Arial" w:cs="Arial" w:eastAsia="Arial" w:hAnsi="Arial"/>
          <w:sz w:val="14"/>
          <w:szCs w:val="14"/>
          <w:i w:val="1"/>
          <w:iCs w:val="1"/>
          <w:color w:val="auto"/>
        </w:rPr>
        <w:t xml:space="preserve"> Universidad Adolfo Ibáñez</w:t>
      </w:r>
      <w:r>
        <w:rPr>
          <w:rFonts w:ascii="Arial" w:cs="Arial" w:eastAsia="Arial" w:hAnsi="Arial"/>
          <w:sz w:val="14"/>
          <w:szCs w:val="14"/>
          <w:color w:val="auto"/>
        </w:rPr>
        <w:t>. Additionally, Mr. Vargas completed the Advanced Management Program at Harvard Business School.</w:t>
      </w:r>
    </w:p>
    <w:p>
      <w:pPr>
        <w:spacing w:after="0" w:line="144"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b w:val="1"/>
          <w:bCs w:val="1"/>
          <w:i w:val="1"/>
          <w:iCs w:val="1"/>
          <w:color w:val="auto"/>
        </w:rPr>
        <w:t xml:space="preserve">Carlos Piocuda Russo. </w:t>
      </w:r>
      <w:r>
        <w:rPr>
          <w:rFonts w:ascii="Arial" w:cs="Arial" w:eastAsia="Arial" w:hAnsi="Arial"/>
          <w:sz w:val="15"/>
          <w:szCs w:val="15"/>
          <w:color w:val="auto"/>
        </w:rPr>
        <w:t>Mr. Piocuda serves as our Vice-President of Corporate Finance. Mr. Piocuda has been a member of our senior management team since 2019.</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Mr. Piocuda also served as one of our financial managers since 2015. Mr. Piocuda received an MBA from </w:t>
      </w:r>
      <w:r>
        <w:rPr>
          <w:rFonts w:ascii="Arial" w:cs="Arial" w:eastAsia="Arial" w:hAnsi="Arial"/>
          <w:sz w:val="15"/>
          <w:szCs w:val="15"/>
          <w:i w:val="1"/>
          <w:iCs w:val="1"/>
          <w:color w:val="auto"/>
        </w:rPr>
        <w:t>Universidad del Norte</w:t>
      </w:r>
      <w:r>
        <w:rPr>
          <w:rFonts w:ascii="Arial" w:cs="Arial" w:eastAsia="Arial" w:hAnsi="Arial"/>
          <w:sz w:val="15"/>
          <w:szCs w:val="15"/>
          <w:color w:val="auto"/>
        </w:rPr>
        <w:t xml:space="preserve"> in Colombia. Mr. Piocuda has over 12 years of combined experience having held financial and administrative positions in the oil and gas and pharmaceutical industries.</w:t>
      </w:r>
    </w:p>
    <w:p>
      <w:pPr>
        <w:spacing w:after="0" w:line="146"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b w:val="1"/>
          <w:bCs w:val="1"/>
          <w:i w:val="1"/>
          <w:iCs w:val="1"/>
          <w:color w:val="auto"/>
        </w:rPr>
        <w:t xml:space="preserve">Grethel Moreno Romero. </w:t>
      </w:r>
      <w:r>
        <w:rPr>
          <w:rFonts w:ascii="Arial" w:cs="Arial" w:eastAsia="Arial" w:hAnsi="Arial"/>
          <w:sz w:val="14"/>
          <w:szCs w:val="14"/>
          <w:color w:val="auto"/>
        </w:rPr>
        <w:t>Ms. Moreno serves as our Vice-President of Audit and Internal Controls. Ms. Moreno holds a BS in Systems Engineering from</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Universidad</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 xml:space="preserve">del Norte </w:t>
      </w:r>
      <w:r>
        <w:rPr>
          <w:rFonts w:ascii="Arial" w:cs="Arial" w:eastAsia="Arial" w:hAnsi="Arial"/>
          <w:sz w:val="14"/>
          <w:szCs w:val="14"/>
          <w:color w:val="auto"/>
        </w:rPr>
        <w:t>in Colombia as well as an MBA where she specialized in Finance and Senior Management studies. Her experience of more than 30 years in management positions in</w:t>
      </w:r>
      <w:r>
        <w:rPr>
          <w:rFonts w:ascii="Arial" w:cs="Arial" w:eastAsia="Arial" w:hAnsi="Arial"/>
          <w:sz w:val="14"/>
          <w:szCs w:val="14"/>
          <w:i w:val="1"/>
          <w:iCs w:val="1"/>
          <w:color w:val="auto"/>
        </w:rPr>
        <w:t xml:space="preserve"> </w:t>
      </w:r>
      <w:r>
        <w:rPr>
          <w:rFonts w:ascii="Arial" w:cs="Arial" w:eastAsia="Arial" w:hAnsi="Arial"/>
          <w:sz w:val="14"/>
          <w:szCs w:val="14"/>
          <w:color w:val="auto"/>
        </w:rPr>
        <w:t>the financial and internal audit areas in the oil and gas and pharmaceutical industries has allowed her to lead project structuring processes, mergers and acquisitions operations, equity sale transactions, syndicated loans with local and international banks, strategic planning, among other responsibilities. Ms. Moreno has served as Vice-President of Audit and Internal Controls of Procaps since September 2018 and has led the establishment of corporate guidelines aimed at strengthening Procaps’ control system processes.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94" w:name="page95"/>
    <w:bookmarkEnd w:id="94"/>
    <w:p>
      <w:pPr>
        <w:jc w:val="both"/>
        <w:ind w:firstLine="574"/>
        <w:spacing w:after="0" w:line="276" w:lineRule="auto"/>
        <w:rPr>
          <w:sz w:val="20"/>
          <w:szCs w:val="20"/>
          <w:color w:val="auto"/>
        </w:rPr>
      </w:pPr>
      <w:r>
        <w:rPr>
          <w:rFonts w:ascii="Arial" w:cs="Arial" w:eastAsia="Arial" w:hAnsi="Arial"/>
          <w:sz w:val="15"/>
          <w:szCs w:val="15"/>
          <w:b w:val="1"/>
          <w:bCs w:val="1"/>
          <w:i w:val="1"/>
          <w:iCs w:val="1"/>
          <w:color w:val="auto"/>
        </w:rPr>
        <w:t xml:space="preserve">Marcela Carvajalino Pagano. </w:t>
      </w:r>
      <w:r>
        <w:rPr>
          <w:rFonts w:ascii="Arial" w:cs="Arial" w:eastAsia="Arial" w:hAnsi="Arial"/>
          <w:sz w:val="15"/>
          <w:szCs w:val="15"/>
          <w:color w:val="auto"/>
        </w:rPr>
        <w:t>Ms. Carvajalino has served as our Vice-President of Corporate and Legal Affairs since 2013. Ms. Carvajalino is an attorney with a law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degree from </w:t>
      </w:r>
      <w:r>
        <w:rPr>
          <w:rFonts w:ascii="Arial" w:cs="Arial" w:eastAsia="Arial" w:hAnsi="Arial"/>
          <w:sz w:val="15"/>
          <w:szCs w:val="15"/>
          <w:i w:val="1"/>
          <w:iCs w:val="1"/>
          <w:color w:val="auto"/>
        </w:rPr>
        <w:t>Universidad del Norte</w:t>
      </w:r>
      <w:r>
        <w:rPr>
          <w:rFonts w:ascii="Arial" w:cs="Arial" w:eastAsia="Arial" w:hAnsi="Arial"/>
          <w:sz w:val="15"/>
          <w:szCs w:val="15"/>
          <w:color w:val="auto"/>
        </w:rPr>
        <w:t xml:space="preserve"> in Colombia where she specialized in Negotiation and Conflict Management, and Senior Management of Corporate Reputation. Ms. Carvajalino has over 28 years of experience, where she has worked in the industrial and health sectors, and led processes of organizational transformation, strategic planning and reputational development with an emphasis on legal, corporate and human resources issues, and defining corporate policies and processes. Ms. Carvajalino has also served as an executive member of several boards of directors of private organizations and associations.</w:t>
      </w:r>
    </w:p>
    <w:p>
      <w:pPr>
        <w:spacing w:after="0" w:line="155"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b w:val="1"/>
          <w:bCs w:val="1"/>
          <w:i w:val="1"/>
          <w:iCs w:val="1"/>
          <w:color w:val="auto"/>
        </w:rPr>
        <w:t xml:space="preserve">Mauricio Castañeda Caballero. </w:t>
      </w:r>
      <w:r>
        <w:rPr>
          <w:rFonts w:ascii="Arial" w:cs="Arial" w:eastAsia="Arial" w:hAnsi="Arial"/>
          <w:sz w:val="15"/>
          <w:szCs w:val="15"/>
          <w:color w:val="auto"/>
        </w:rPr>
        <w:t>Mr. Castañeda has served as our Vice-President of Human Resources since August of 2014. Mr. Castañeda holds a degree in Business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Administrator from </w:t>
      </w:r>
      <w:r>
        <w:rPr>
          <w:rFonts w:ascii="Arial" w:cs="Arial" w:eastAsia="Arial" w:hAnsi="Arial"/>
          <w:sz w:val="15"/>
          <w:szCs w:val="15"/>
          <w:i w:val="1"/>
          <w:iCs w:val="1"/>
          <w:color w:val="auto"/>
        </w:rPr>
        <w:t>Universidad de la Sabana</w:t>
      </w:r>
      <w:r>
        <w:rPr>
          <w:rFonts w:ascii="Arial" w:cs="Arial" w:eastAsia="Arial" w:hAnsi="Arial"/>
          <w:sz w:val="15"/>
          <w:szCs w:val="15"/>
          <w:color w:val="auto"/>
        </w:rPr>
        <w:t xml:space="preserve"> in Colombia. He also holds complimentary studies in specialization of Strategic Marketing from </w:t>
      </w:r>
      <w:r>
        <w:rPr>
          <w:rFonts w:ascii="Arial" w:cs="Arial" w:eastAsia="Arial" w:hAnsi="Arial"/>
          <w:sz w:val="15"/>
          <w:szCs w:val="15"/>
          <w:i w:val="1"/>
          <w:iCs w:val="1"/>
          <w:color w:val="auto"/>
        </w:rPr>
        <w:t>Colegio de Estudios Superiores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de Administración </w:t>
      </w:r>
      <w:r>
        <w:rPr>
          <w:rFonts w:ascii="Arial" w:cs="Arial" w:eastAsia="Arial" w:hAnsi="Arial"/>
          <w:sz w:val="15"/>
          <w:szCs w:val="15"/>
          <w:color w:val="auto"/>
        </w:rPr>
        <w:t>in Colombia and an MBA from INALDE Business School in Colombia. He has over 20 years of experience in the mass retail, insurance, and health sectors,</w:t>
      </w:r>
      <w:r>
        <w:rPr>
          <w:rFonts w:ascii="Arial" w:cs="Arial" w:eastAsia="Arial" w:hAnsi="Arial"/>
          <w:sz w:val="15"/>
          <w:szCs w:val="15"/>
          <w:i w:val="1"/>
          <w:iCs w:val="1"/>
          <w:color w:val="auto"/>
        </w:rPr>
        <w:t xml:space="preserve"> </w:t>
      </w:r>
      <w:r>
        <w:rPr>
          <w:rFonts w:ascii="Arial" w:cs="Arial" w:eastAsia="Arial" w:hAnsi="Arial"/>
          <w:sz w:val="15"/>
          <w:szCs w:val="15"/>
          <w:color w:val="auto"/>
        </w:rPr>
        <w:t>where he has led organizational planning and transformation processes, strategic planning of human resources with emphasis on the design of succession plans, labor legislation and complementary reforms, and variable compensation systems, among other projects.</w:t>
      </w:r>
    </w:p>
    <w:p>
      <w:pPr>
        <w:spacing w:after="0" w:line="155"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i w:val="1"/>
          <w:iCs w:val="1"/>
          <w:color w:val="auto"/>
        </w:rPr>
        <w:t xml:space="preserve">Luis Alberto Palacios Aragon. </w:t>
      </w:r>
      <w:r>
        <w:rPr>
          <w:rFonts w:ascii="Arial" w:cs="Arial" w:eastAsia="Arial" w:hAnsi="Arial"/>
          <w:sz w:val="16"/>
          <w:szCs w:val="16"/>
          <w:color w:val="auto"/>
        </w:rPr>
        <w:t>Mr. Palacios has served as our Vice-President of International Marketing and R&amp;D since 2019. Mr. Palacios graduated from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Universidad del Pacifico </w:t>
      </w:r>
      <w:r>
        <w:rPr>
          <w:rFonts w:ascii="Arial" w:cs="Arial" w:eastAsia="Arial" w:hAnsi="Arial"/>
          <w:sz w:val="16"/>
          <w:szCs w:val="16"/>
          <w:color w:val="auto"/>
        </w:rPr>
        <w:t>in Peru with a Business Management degree. He later received a Master in Marketing and Commercial Management from the American University of</w:t>
      </w:r>
      <w:r>
        <w:rPr>
          <w:rFonts w:ascii="Arial" w:cs="Arial" w:eastAsia="Arial" w:hAnsi="Arial"/>
          <w:sz w:val="16"/>
          <w:szCs w:val="16"/>
          <w:i w:val="1"/>
          <w:iCs w:val="1"/>
          <w:color w:val="auto"/>
        </w:rPr>
        <w:t xml:space="preserve"> </w:t>
      </w:r>
      <w:r>
        <w:rPr>
          <w:rFonts w:ascii="Arial" w:cs="Arial" w:eastAsia="Arial" w:hAnsi="Arial"/>
          <w:sz w:val="16"/>
          <w:szCs w:val="16"/>
          <w:color w:val="auto"/>
        </w:rPr>
        <w:t>Paraguay and leadership training at Northwestern University’s Kellogg School of Management. He has 35 years of varied and extensive experience in the Latin America pharmaceutical sector, performing different commercial functions managing clients, especially health professionals from different Latin American countries. He has served Procaps for the past six years as the head of Procaps’ Farma Procaps business for Colombian operations, leading commercial management and international marketing practice, promoting the development of science and innovation.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Structure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shows our management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03440" cy="27622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276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addition to our executive officers and our senior management team, each of our business segments (NextGel, Procaps Colombia, CAN, CASAND and Diabetrics) is managed by a Vice-President that reports directly to the President.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95" w:name="page96"/>
    <w:bookmarkEnd w:id="95"/>
    <w:p>
      <w:pPr>
        <w:ind w:left="4" w:right="9440" w:hanging="4"/>
        <w:spacing w:after="0" w:line="573" w:lineRule="auto"/>
        <w:tabs>
          <w:tab w:leader="none" w:pos="19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COMPENSATION Compensation of Directors</w:t>
      </w:r>
    </w:p>
    <w:p>
      <w:pPr>
        <w:jc w:val="both"/>
        <w:ind w:left="4" w:firstLine="574"/>
        <w:spacing w:after="0" w:line="309" w:lineRule="auto"/>
        <w:rPr>
          <w:sz w:val="20"/>
          <w:szCs w:val="20"/>
          <w:color w:val="auto"/>
        </w:rPr>
      </w:pPr>
      <w:r>
        <w:rPr>
          <w:rFonts w:ascii="Arial" w:cs="Arial" w:eastAsia="Arial" w:hAnsi="Arial"/>
          <w:sz w:val="15"/>
          <w:szCs w:val="15"/>
          <w:color w:val="auto"/>
        </w:rPr>
        <w:t>Each member of our board of directors receives compensation in the amount of $56,000 per annum except for (i) any director who is an officer or employee, and (ii) Mr. Weinstein who receives compensation in the amount of $150,000 per annum which amount includes all services which Mr. Weinstein provides to us.</w:t>
      </w:r>
    </w:p>
    <w:p>
      <w:pPr>
        <w:spacing w:after="0" w:line="1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Compensation of Executive Officers and Senior Management Team</w:t>
      </w:r>
    </w:p>
    <w:p>
      <w:pPr>
        <w:spacing w:after="0" w:line="202" w:lineRule="exact"/>
        <w:rPr>
          <w:sz w:val="20"/>
          <w:szCs w:val="20"/>
          <w:color w:val="auto"/>
        </w:rPr>
      </w:pPr>
    </w:p>
    <w:p>
      <w:pPr>
        <w:jc w:val="both"/>
        <w:ind w:left="4" w:firstLine="574"/>
        <w:spacing w:after="0" w:line="255" w:lineRule="auto"/>
        <w:rPr>
          <w:sz w:val="20"/>
          <w:szCs w:val="20"/>
          <w:color w:val="auto"/>
        </w:rPr>
      </w:pPr>
      <w:r>
        <w:rPr>
          <w:rFonts w:ascii="Arial" w:cs="Arial" w:eastAsia="Arial" w:hAnsi="Arial"/>
          <w:sz w:val="16"/>
          <w:szCs w:val="16"/>
          <w:color w:val="auto"/>
        </w:rPr>
        <w:t>For the years ended December 31, 2021, 2020 and 2019, our executive officers and senior management team received an aggregate compensation of approximately $5.3 million (including a special bonus paid in connection with the Closing of the Business Combination and the listing of the Ordinary Shares on the Nasdaq), $2.7 million and $1.9 million, respectively. The aggregate compensation paid directly or indirectly to our executive officers and senior management team consists of: (i) wages paid by our subsidiary, Procaps Group S.A.; (ii) consulting fees paid to certain of Procaps’ executive officers and senior management team members by Horslig GMBH or Pharminter GMBH, indirect subsidiaries of Procaps; and (iii) employee benefits.</w:t>
      </w:r>
    </w:p>
    <w:p>
      <w:pPr>
        <w:spacing w:after="0" w:line="170"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Our executive officers and members of our senior management team are employed directly by Procaps S.A., or one of our other subsidiaries, and participate in such company’s benefits plan and government pension plan, if any, on the same basis as its other employees. We have a strategic variable bonus system that grants cash compensation for achievement of both financial and tactical objectives. These bonuses represent approximately 30% of our executive officers’ and senior management team’s total compensation and are paid on a semi-annual basis.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 BOARD PRACTICES</w:t>
      </w:r>
    </w:p>
    <w:p>
      <w:pPr>
        <w:spacing w:after="0" w:line="202"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Our board of directors consists of seven directors, including four independent directors. Our board of directors also has an independent audit committee, nominating committee and compensation committee. Daniel W. Fink, Kyle P Bransfield, Luis Fernando Castro and David Yanovich are “independent directors,” as defined in Nasdaq listing standards and applicable SEC rules.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Board Committees</w:t>
      </w:r>
    </w:p>
    <w:p>
      <w:pPr>
        <w:spacing w:after="0" w:line="202"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We have established four committees under the board of directors: an audit committee, a compensation committee, a nominating committee and a mergers and acquisitions committee. Each committee’s functions are described below. For information on the members and chairs of each committee see “— Directors and Senior Management” above.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Audit Committee</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Our audit committee is responsible for, among other things:</w:t>
      </w:r>
    </w:p>
    <w:p>
      <w:pPr>
        <w:spacing w:after="0" w:line="198" w:lineRule="exact"/>
        <w:rPr>
          <w:sz w:val="20"/>
          <w:szCs w:val="20"/>
          <w:color w:val="auto"/>
        </w:rPr>
      </w:pPr>
    </w:p>
    <w:p>
      <w:pPr>
        <w:ind w:left="864" w:hanging="291"/>
        <w:spacing w:after="0"/>
        <w:tabs>
          <w:tab w:leader="none" w:pos="864" w:val="left"/>
        </w:tabs>
        <w:numPr>
          <w:ilvl w:val="0"/>
          <w:numId w:val="41"/>
        </w:numPr>
        <w:rPr>
          <w:rFonts w:ascii="Arial" w:cs="Arial" w:eastAsia="Arial" w:hAnsi="Arial"/>
          <w:sz w:val="16"/>
          <w:szCs w:val="16"/>
          <w:color w:val="auto"/>
        </w:rPr>
      </w:pPr>
      <w:r>
        <w:rPr>
          <w:rFonts w:ascii="Arial" w:cs="Arial" w:eastAsia="Arial" w:hAnsi="Arial"/>
          <w:sz w:val="16"/>
          <w:szCs w:val="16"/>
          <w:color w:val="auto"/>
        </w:rPr>
        <w:t>appointing, compensating, retaining, evaluating, terminating and overseeing our independent registered public accounting firm;</w:t>
      </w:r>
    </w:p>
    <w:p>
      <w:pPr>
        <w:spacing w:after="0" w:line="198" w:lineRule="exact"/>
        <w:rPr>
          <w:rFonts w:ascii="Arial" w:cs="Arial" w:eastAsia="Arial" w:hAnsi="Arial"/>
          <w:sz w:val="16"/>
          <w:szCs w:val="16"/>
          <w:color w:val="auto"/>
        </w:rPr>
      </w:pPr>
    </w:p>
    <w:p>
      <w:pPr>
        <w:ind w:left="864" w:hanging="291"/>
        <w:spacing w:after="0"/>
        <w:tabs>
          <w:tab w:leader="none" w:pos="864"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discussing with our independent registered public accounting firm their independence from management;</w:t>
      </w:r>
    </w:p>
    <w:p>
      <w:pPr>
        <w:spacing w:after="0" w:line="198" w:lineRule="exact"/>
        <w:rPr>
          <w:rFonts w:ascii="Arial" w:cs="Arial" w:eastAsia="Arial" w:hAnsi="Arial"/>
          <w:sz w:val="16"/>
          <w:szCs w:val="16"/>
          <w:color w:val="auto"/>
        </w:rPr>
      </w:pPr>
    </w:p>
    <w:p>
      <w:pPr>
        <w:ind w:left="864" w:hanging="291"/>
        <w:spacing w:after="0"/>
        <w:tabs>
          <w:tab w:leader="none" w:pos="864"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reviewing, with our independent registered public accounting firm, the scope and results of their audit;</w:t>
      </w:r>
    </w:p>
    <w:p>
      <w:pPr>
        <w:spacing w:after="0" w:line="198" w:lineRule="exact"/>
        <w:rPr>
          <w:rFonts w:ascii="Arial" w:cs="Arial" w:eastAsia="Arial" w:hAnsi="Arial"/>
          <w:sz w:val="16"/>
          <w:szCs w:val="16"/>
          <w:color w:val="auto"/>
        </w:rPr>
      </w:pPr>
    </w:p>
    <w:p>
      <w:pPr>
        <w:ind w:left="864" w:hanging="291"/>
        <w:spacing w:after="0"/>
        <w:tabs>
          <w:tab w:leader="none" w:pos="864" w:val="left"/>
        </w:tabs>
        <w:numPr>
          <w:ilvl w:val="0"/>
          <w:numId w:val="41"/>
        </w:numPr>
        <w:rPr>
          <w:rFonts w:ascii="Arial" w:cs="Arial" w:eastAsia="Arial" w:hAnsi="Arial"/>
          <w:sz w:val="16"/>
          <w:szCs w:val="16"/>
          <w:color w:val="auto"/>
        </w:rPr>
      </w:pPr>
      <w:r>
        <w:rPr>
          <w:rFonts w:ascii="Arial" w:cs="Arial" w:eastAsia="Arial" w:hAnsi="Arial"/>
          <w:sz w:val="16"/>
          <w:szCs w:val="16"/>
          <w:color w:val="auto"/>
        </w:rPr>
        <w:t>approving all audit and permissible non-audit services to be performed by our independent registered public accounting firm;</w:t>
      </w:r>
    </w:p>
    <w:p>
      <w:pPr>
        <w:spacing w:after="0" w:line="198" w:lineRule="exact"/>
        <w:rPr>
          <w:rFonts w:ascii="Arial" w:cs="Arial" w:eastAsia="Arial" w:hAnsi="Arial"/>
          <w:sz w:val="16"/>
          <w:szCs w:val="16"/>
          <w:color w:val="auto"/>
        </w:rPr>
      </w:pPr>
    </w:p>
    <w:p>
      <w:pPr>
        <w:ind w:left="864" w:right="20" w:hanging="291"/>
        <w:spacing w:after="0" w:line="275" w:lineRule="auto"/>
        <w:tabs>
          <w:tab w:leader="none" w:pos="864" w:val="left"/>
        </w:tabs>
        <w:numPr>
          <w:ilvl w:val="0"/>
          <w:numId w:val="41"/>
        </w:numPr>
        <w:rPr>
          <w:rFonts w:ascii="Arial" w:cs="Arial" w:eastAsia="Arial" w:hAnsi="Arial"/>
          <w:sz w:val="16"/>
          <w:szCs w:val="16"/>
          <w:color w:val="auto"/>
        </w:rPr>
      </w:pPr>
      <w:r>
        <w:rPr>
          <w:rFonts w:ascii="Arial" w:cs="Arial" w:eastAsia="Arial" w:hAnsi="Arial"/>
          <w:sz w:val="16"/>
          <w:szCs w:val="16"/>
          <w:color w:val="auto"/>
        </w:rPr>
        <w:t>overseeing the financial reporting process and discussing with management and our independent registered public accounting firm the annual financial statements that we file with the SEC;</w:t>
      </w:r>
    </w:p>
    <w:p>
      <w:pPr>
        <w:spacing w:after="0" w:line="151" w:lineRule="exact"/>
        <w:rPr>
          <w:rFonts w:ascii="Arial" w:cs="Arial" w:eastAsia="Arial" w:hAnsi="Arial"/>
          <w:sz w:val="16"/>
          <w:szCs w:val="16"/>
          <w:color w:val="auto"/>
        </w:rPr>
      </w:pPr>
    </w:p>
    <w:p>
      <w:pPr>
        <w:ind w:left="864" w:hanging="291"/>
        <w:spacing w:after="0"/>
        <w:tabs>
          <w:tab w:leader="none" w:pos="864" w:val="left"/>
        </w:tabs>
        <w:numPr>
          <w:ilvl w:val="0"/>
          <w:numId w:val="41"/>
        </w:numPr>
        <w:rPr>
          <w:rFonts w:ascii="Arial" w:cs="Arial" w:eastAsia="Arial" w:hAnsi="Arial"/>
          <w:sz w:val="16"/>
          <w:szCs w:val="16"/>
          <w:color w:val="auto"/>
        </w:rPr>
      </w:pPr>
      <w:r>
        <w:rPr>
          <w:rFonts w:ascii="Arial" w:cs="Arial" w:eastAsia="Arial" w:hAnsi="Arial"/>
          <w:sz w:val="16"/>
          <w:szCs w:val="16"/>
          <w:color w:val="auto"/>
        </w:rPr>
        <w:t>overseeing our financial and accounting controls and compliance with legal and regulatory requirements;</w:t>
      </w:r>
    </w:p>
    <w:p>
      <w:pPr>
        <w:spacing w:after="0" w:line="198" w:lineRule="exact"/>
        <w:rPr>
          <w:rFonts w:ascii="Arial" w:cs="Arial" w:eastAsia="Arial" w:hAnsi="Arial"/>
          <w:sz w:val="16"/>
          <w:szCs w:val="16"/>
          <w:color w:val="auto"/>
        </w:rPr>
      </w:pPr>
    </w:p>
    <w:p>
      <w:pPr>
        <w:ind w:left="864" w:hanging="291"/>
        <w:spacing w:after="0"/>
        <w:tabs>
          <w:tab w:leader="none" w:pos="864"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reviewing our policies on risk assessment and risk management;</w:t>
      </w:r>
    </w:p>
    <w:p>
      <w:pPr>
        <w:spacing w:after="0" w:line="198" w:lineRule="exact"/>
        <w:rPr>
          <w:rFonts w:ascii="Arial" w:cs="Arial" w:eastAsia="Arial" w:hAnsi="Arial"/>
          <w:sz w:val="16"/>
          <w:szCs w:val="16"/>
          <w:color w:val="auto"/>
        </w:rPr>
      </w:pPr>
    </w:p>
    <w:p>
      <w:pPr>
        <w:ind w:left="864" w:hanging="291"/>
        <w:spacing w:after="0"/>
        <w:tabs>
          <w:tab w:leader="none" w:pos="864"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reviewing related person transactions; and</w:t>
      </w:r>
    </w:p>
    <w:p>
      <w:pPr>
        <w:spacing w:after="0" w:line="198" w:lineRule="exact"/>
        <w:rPr>
          <w:rFonts w:ascii="Arial" w:cs="Arial" w:eastAsia="Arial" w:hAnsi="Arial"/>
          <w:sz w:val="16"/>
          <w:szCs w:val="16"/>
          <w:color w:val="auto"/>
        </w:rPr>
      </w:pPr>
    </w:p>
    <w:p>
      <w:pPr>
        <w:ind w:left="864" w:hanging="291"/>
        <w:spacing w:after="0"/>
        <w:tabs>
          <w:tab w:leader="none" w:pos="864" w:val="left"/>
        </w:tabs>
        <w:numPr>
          <w:ilvl w:val="0"/>
          <w:numId w:val="41"/>
        </w:numPr>
        <w:rPr>
          <w:rFonts w:ascii="Arial" w:cs="Arial" w:eastAsia="Arial" w:hAnsi="Arial"/>
          <w:sz w:val="15"/>
          <w:szCs w:val="15"/>
          <w:color w:val="auto"/>
        </w:rPr>
      </w:pPr>
      <w:r>
        <w:rPr>
          <w:rFonts w:ascii="Arial" w:cs="Arial" w:eastAsia="Arial" w:hAnsi="Arial"/>
          <w:sz w:val="15"/>
          <w:szCs w:val="15"/>
          <w:color w:val="auto"/>
        </w:rPr>
        <w:t>establishing procedures for the confidential anonymous submission of concerns regarding questionable accounting, internal controls or auditing matters.</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96" w:name="page97"/>
    <w:bookmarkEnd w:id="96"/>
    <w:p>
      <w:pPr>
        <w:jc w:val="both"/>
        <w:ind w:firstLine="574"/>
        <w:spacing w:after="0" w:line="255" w:lineRule="auto"/>
        <w:rPr>
          <w:sz w:val="20"/>
          <w:szCs w:val="20"/>
          <w:color w:val="auto"/>
        </w:rPr>
      </w:pPr>
      <w:r>
        <w:rPr>
          <w:rFonts w:ascii="Arial" w:cs="Arial" w:eastAsia="Arial" w:hAnsi="Arial"/>
          <w:sz w:val="16"/>
          <w:szCs w:val="16"/>
          <w:color w:val="auto"/>
        </w:rPr>
        <w:t>Our audit committee consists of David Yanovich, as Chairman and Daniel Fink and Luis Fernando Castro, as members. Each qualifies as an independent director according to the rules and regulations of the SEC and Nasdaq with respect to audit committee membership. In addition, all of the audit committee members meet the requirements for financial literacy under applicable SEC and Nasdaq rules and at least one of the members qualifies as an “audit committee financial expert,” as such term is defined in Item 407(d) of Regulation S-K. The written charter for the audit committee, is available on our website. The reference to our website address in annual report does not include or incorporate by reference the information on our website into this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compensation committee is responsible for, among other things:</w:t>
      </w:r>
    </w:p>
    <w:p>
      <w:pPr>
        <w:spacing w:after="0" w:line="198" w:lineRule="exact"/>
        <w:rPr>
          <w:sz w:val="20"/>
          <w:szCs w:val="20"/>
          <w:color w:val="auto"/>
        </w:rPr>
      </w:pPr>
    </w:p>
    <w:p>
      <w:pPr>
        <w:jc w:val="both"/>
        <w:ind w:left="860" w:right="20" w:hanging="291"/>
        <w:spacing w:after="0" w:line="262" w:lineRule="auto"/>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reviewing and approving the factors to be considered in determining the compensation (either alone or, if directed by our board of directors, in conjunction with a majority of the independent members of our board of directors) of our Chief Executive Officer, Chief Financial Officer and President, and evaluate the performance of our executive officers in light of these factors, subject to ratification by our board of directors;</w:t>
      </w:r>
    </w:p>
    <w:p>
      <w:pPr>
        <w:spacing w:after="0" w:line="162"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evaluating, recommending, reviewing and approving, subject to ratification by our board of directors, the executive officer’s compensation arrangements (both salary and bonus), plans, policies and programs maintained by Procaps;</w:t>
      </w:r>
    </w:p>
    <w:p>
      <w:pPr>
        <w:spacing w:after="0" w:line="151" w:lineRule="exact"/>
        <w:rPr>
          <w:rFonts w:ascii="Arial" w:cs="Arial" w:eastAsia="Arial" w:hAnsi="Arial"/>
          <w:sz w:val="16"/>
          <w:szCs w:val="16"/>
          <w:color w:val="auto"/>
        </w:rPr>
      </w:pPr>
    </w:p>
    <w:p>
      <w:pPr>
        <w:ind w:left="860" w:hanging="291"/>
        <w:spacing w:after="0" w:line="275" w:lineRule="auto"/>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evaluating, recommending and reviewing any equity incentive awards issued to any executive officers and directors that may be made under any equity-based compensation plan adopted by our board of directors; and</w:t>
      </w:r>
    </w:p>
    <w:p>
      <w:pPr>
        <w:spacing w:after="0" w:line="151"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meet with the Chief Executive Officer and other executive officers annually to discuss any incentive compensation programs to be in effect for the executive officers for such fiscal year and the basis for evaluating the performance of the executive officers.</w:t>
      </w:r>
    </w:p>
    <w:p>
      <w:pPr>
        <w:spacing w:after="0" w:line="15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Our compensation committee consists of Luis Fernando Castro, as Chairman and David Yanovich, as a member, and each qualifies as an independent director according to the rules and regulations of the SEC and Nasdaq with respect to compensation committee membership, including the heightened independence standards for members of a compensation committee. The written charter for the compensation committee, is available on our website. The reference to our website address in this annual report does not include or incorporate by reference the information on our website into this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Nominating Committee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nominating committee is responsible for, among other things:</w:t>
      </w:r>
    </w:p>
    <w:p>
      <w:pPr>
        <w:spacing w:after="0" w:line="198" w:lineRule="exact"/>
        <w:rPr>
          <w:sz w:val="20"/>
          <w:szCs w:val="20"/>
          <w:color w:val="auto"/>
        </w:rPr>
      </w:pPr>
    </w:p>
    <w:p>
      <w:pPr>
        <w:ind w:left="860" w:hanging="291"/>
        <w:spacing w:after="0"/>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evaluating the qualifications of potential directors proposed for appointment pursuant to the Nomination Agreement;</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our board of directors, consistent with criteria approved by our board of directors; and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periodically reviewing our board of directors’ leadership structure and recommending any proposed changes to our board of directors.</w:t>
      </w:r>
    </w:p>
    <w:p>
      <w:pPr>
        <w:spacing w:after="0" w:line="198"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Our nominating committee consists of Luis Fernando Castro, as Chairman and David Yanovich, as a member, and each qualifies as an independent director according to the rules and regulations of the SEC and Nasdaq with respect to nominating committee membership. The written charter for the nominating committee, is available on our website. The reference to our website address in this annual report does not include or incorporate by reference the information on our website into this 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Mergers and Acquisitions Committee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mergers and acquisitions committee is responsible for, among other things:</w:t>
      </w:r>
    </w:p>
    <w:p>
      <w:pPr>
        <w:spacing w:after="0" w:line="198" w:lineRule="exact"/>
        <w:rPr>
          <w:sz w:val="20"/>
          <w:szCs w:val="20"/>
          <w:color w:val="auto"/>
        </w:rPr>
      </w:pPr>
    </w:p>
    <w:p>
      <w:pPr>
        <w:ind w:left="860" w:right="20" w:hanging="291"/>
        <w:spacing w:after="0" w:line="275" w:lineRule="auto"/>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reviewing and assessing, and assisting our management and board of directors in reviewing and assessing, potential acquisitions, strategic investments and divestitures;</w:t>
      </w:r>
    </w:p>
    <w:p>
      <w:pPr>
        <w:spacing w:after="0" w:line="151" w:lineRule="exact"/>
        <w:rPr>
          <w:rFonts w:ascii="Arial" w:cs="Arial" w:eastAsia="Arial" w:hAnsi="Arial"/>
          <w:sz w:val="16"/>
          <w:szCs w:val="16"/>
          <w:color w:val="auto"/>
        </w:rPr>
      </w:pPr>
    </w:p>
    <w:p>
      <w:pPr>
        <w:ind w:left="860" w:hanging="291"/>
        <w:spacing w:after="0"/>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providing guidance to our management and board of directors with respect to our acquisition, investment and divestiture strategies;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assisting our management and board of directors with identifying acquisition, investment and divestiture opportunities; and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overseeing the due diligence process with respect to proposed acquisitions, investments and divestitures by 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97" w:name="page98"/>
    <w:bookmarkEnd w:id="97"/>
    <w:p>
      <w:pPr>
        <w:jc w:val="both"/>
        <w:ind w:right="20" w:firstLine="574"/>
        <w:spacing w:after="0" w:line="262" w:lineRule="auto"/>
        <w:rPr>
          <w:sz w:val="20"/>
          <w:szCs w:val="20"/>
          <w:color w:val="auto"/>
        </w:rPr>
      </w:pPr>
      <w:r>
        <w:rPr>
          <w:rFonts w:ascii="Arial" w:cs="Arial" w:eastAsia="Arial" w:hAnsi="Arial"/>
          <w:sz w:val="16"/>
          <w:szCs w:val="16"/>
          <w:color w:val="auto"/>
        </w:rPr>
        <w:t>Our mergers and acquisitions committee consists of Alejandro Weinstein, as Chairman and Ruben Minski and Kyle P. Bransfield, as members. The written charter for the mergers and acquisition committee, is available on our website. The reference to our website address in this annual report does not include or incorporate by reference the information on our website into this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Oversight</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Our board of directors is responsible for overseeing our risk management process. Our board of directors focuses on our general risk management strategy, the most significant risks facing us, and oversees the implementation of risk mitigation strategies by management. Our audit committee is also responsible for discussing our policies with respect to risk assessment and risk management. Our board of directors believes its administration of its risk oversight function has not negatively affected our board of directors’ ability to fulfill its other duties and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EMPLOYEES</w:t>
      </w:r>
    </w:p>
    <w:p>
      <w:pPr>
        <w:spacing w:after="0" w:line="20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As of December 31, 2021, we had more than 4,900 full-time and temporary employees worldwide. Approximately 0.8% of our employees in our Rymco (2 employees) and Softgel (39 employees) manufacturing facilities are currently represented by industry labor union organizations. With respect to our technical talent, we employ more than 305 scientists, technicians and skilled personnel in R&amp;D and innovation.</w:t>
      </w:r>
    </w:p>
    <w:p>
      <w:pPr>
        <w:spacing w:after="0" w:line="16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are committed to our continued efforts to increase diversity and foster an inclusive work environment that supports the global workforce and the communities we serve. We recruit the best people for the job regardless of gender, ethnicity or other protected traits and it is our policy to fully comply with all laws applicable to discrimination in the workplace. Our diversity, equity and inclusion principles are also reflected in our employee training and policies. We continue to enhance our diversity, equity and inclusion policies which are guided by our senior management team.</w:t>
      </w:r>
    </w:p>
    <w:p>
      <w:pPr>
        <w:spacing w:after="0" w:line="16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We believe that we provide robust compensation and benefits to our employees. In addition to salaries, these programs, which vary by country/region, can include a 401(k) plan, healthcare and insurance benefits, health savings and flexible spending accounts, paid time off, family leave, among many others. We believe that our employee relations are satisfactory.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sets forth the approximate number of our employees by geographic region as of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60" w:type="dxa"/>
            <w:vAlign w:val="bottom"/>
          </w:tcPr>
          <w:p>
            <w:pPr>
              <w:spacing w:after="0"/>
              <w:rPr>
                <w:sz w:val="16"/>
                <w:szCs w:val="16"/>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8"/>
              </w:rPr>
              <w:t>South</w:t>
            </w:r>
          </w:p>
        </w:tc>
        <w:tc>
          <w:tcPr>
            <w:tcW w:w="1380" w:type="dxa"/>
            <w:vAlign w:val="bottom"/>
            <w:gridSpan w:val="2"/>
          </w:tcPr>
          <w:p>
            <w:pPr>
              <w:ind w:left="420"/>
              <w:spacing w:after="0"/>
              <w:rPr>
                <w:sz w:val="20"/>
                <w:szCs w:val="20"/>
                <w:color w:val="auto"/>
              </w:rPr>
            </w:pPr>
            <w:r>
              <w:rPr>
                <w:rFonts w:ascii="Arial" w:cs="Arial" w:eastAsia="Arial" w:hAnsi="Arial"/>
                <w:sz w:val="16"/>
                <w:szCs w:val="16"/>
                <w:b w:val="1"/>
                <w:bCs w:val="1"/>
                <w:color w:val="auto"/>
              </w:rPr>
              <w:t>Central</w:t>
            </w:r>
          </w:p>
        </w:tc>
        <w:tc>
          <w:tcPr>
            <w:tcW w:w="13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3"/>
              </w:rPr>
              <w:t>North</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586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America</w:t>
            </w:r>
          </w:p>
        </w:tc>
        <w:tc>
          <w:tcPr>
            <w:tcW w:w="1380" w:type="dxa"/>
            <w:vAlign w:val="bottom"/>
            <w:gridSpan w:val="2"/>
          </w:tcPr>
          <w:p>
            <w:pPr>
              <w:ind w:left="400"/>
              <w:spacing w:after="0"/>
              <w:rPr>
                <w:sz w:val="20"/>
                <w:szCs w:val="20"/>
                <w:color w:val="auto"/>
              </w:rPr>
            </w:pPr>
            <w:r>
              <w:rPr>
                <w:rFonts w:ascii="Arial" w:cs="Arial" w:eastAsia="Arial" w:hAnsi="Arial"/>
                <w:sz w:val="16"/>
                <w:szCs w:val="16"/>
                <w:b w:val="1"/>
                <w:bCs w:val="1"/>
                <w:color w:val="auto"/>
              </w:rPr>
              <w:t>America</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America</w:t>
            </w:r>
          </w:p>
        </w:tc>
        <w:tc>
          <w:tcPr>
            <w:tcW w:w="134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w:t>
            </w:r>
          </w:p>
        </w:tc>
      </w:tr>
      <w:tr>
        <w:trPr>
          <w:trHeight w:val="191"/>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Approximate number of employees as of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4,160</w:t>
            </w: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4,993</w:t>
            </w:r>
          </w:p>
        </w:tc>
        <w:tc>
          <w:tcPr>
            <w:tcW w:w="120" w:type="dxa"/>
            <w:vAlign w:val="bottom"/>
            <w:tcBorders>
              <w:top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In addition to our executive officers, we rely on the Senior Management team above to lead and direct our business. The members of the Senior Management team hold positions in areas such as corporate finance, audit and internal corporate controls, human resources, corporate legal and regulatory affairs, and marketing and R&amp;D.</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SHARE OWNERSHIP</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beneficial ownership of Ordinary Shares as of April 28, 2022, by:</w:t>
      </w:r>
    </w:p>
    <w:p>
      <w:pPr>
        <w:spacing w:after="0" w:line="198" w:lineRule="exact"/>
        <w:rPr>
          <w:sz w:val="20"/>
          <w:szCs w:val="20"/>
          <w:color w:val="auto"/>
        </w:rPr>
      </w:pPr>
    </w:p>
    <w:p>
      <w:pPr>
        <w:ind w:left="860" w:hanging="291"/>
        <w:spacing w:after="0"/>
        <w:tabs>
          <w:tab w:leader="none" w:pos="8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each of our directors and executive officers; and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of our directors and executive officers as a group.</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98" w:name="page99"/>
    <w:bookmarkEnd w:id="98"/>
    <w:p>
      <w:pPr>
        <w:jc w:val="both"/>
        <w:ind w:left="4" w:right="20" w:firstLine="574"/>
        <w:spacing w:after="0" w:line="258" w:lineRule="auto"/>
        <w:rPr>
          <w:sz w:val="20"/>
          <w:szCs w:val="20"/>
          <w:color w:val="auto"/>
        </w:rPr>
      </w:pPr>
      <w:r>
        <w:rPr>
          <w:rFonts w:ascii="Arial" w:cs="Arial" w:eastAsia="Arial" w:hAnsi="Arial"/>
          <w:sz w:val="16"/>
          <w:szCs w:val="16"/>
          <w:color w:val="auto"/>
        </w:rPr>
        <w:t>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of the Closing through the exercise of any option, warrant or any other right.</w:t>
      </w:r>
    </w:p>
    <w:p>
      <w:pPr>
        <w:spacing w:after="0" w:line="165"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We have based percentage ownership on 112,824,183 Ordinary Shares outstanding as of April 28, 2022.</w:t>
      </w:r>
    </w:p>
    <w:p>
      <w:pPr>
        <w:spacing w:after="0" w:line="198"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Unless otherwise indicated, we believe that all persons named in the table below have sole voting and investment power with respect to the Ordinary Shares beneficially owned by them.</w:t>
      </w:r>
    </w:p>
    <w:p>
      <w:pPr>
        <w:spacing w:after="0" w:line="93" w:lineRule="exact"/>
        <w:rPr>
          <w:sz w:val="20"/>
          <w:szCs w:val="20"/>
          <w:color w:val="auto"/>
        </w:rPr>
      </w:pPr>
    </w:p>
    <w:tbl>
      <w:tblPr>
        <w:tblLayout w:type="fixed"/>
        <w:tblInd w:w="4" w:type="dxa"/>
        <w:tblCellMar>
          <w:top w:w="0" w:type="dxa"/>
          <w:left w:w="0" w:type="dxa"/>
          <w:bottom w:w="0" w:type="dxa"/>
          <w:right w:w="0" w:type="dxa"/>
        </w:tblCellMar>
      </w:tblPr>
      <w:tr>
        <w:trPr>
          <w:trHeight w:val="303"/>
        </w:trPr>
        <w:tc>
          <w:tcPr>
            <w:tcW w:w="852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4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Number</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1"/>
              </w:rPr>
              <w:t>Percentage</w:t>
            </w:r>
            <w:r>
              <w:rPr>
                <w:rFonts w:ascii="Arial" w:cs="Arial" w:eastAsia="Arial" w:hAnsi="Arial"/>
                <w:sz w:val="26"/>
                <w:szCs w:val="26"/>
                <w:b w:val="1"/>
                <w:bCs w:val="1"/>
                <w:color w:val="auto"/>
                <w:w w:val="91"/>
                <w:vertAlign w:val="superscript"/>
              </w:rPr>
              <w:t>(1)</w:t>
            </w:r>
          </w:p>
        </w:tc>
      </w:tr>
      <w:tr>
        <w:trPr>
          <w:trHeight w:val="191"/>
        </w:trPr>
        <w:tc>
          <w:tcPr>
            <w:tcW w:w="84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i w:val="1"/>
                <w:iCs w:val="1"/>
                <w:color w:val="auto"/>
              </w:rPr>
              <w:t>Executive Officers and Directors:</w:t>
            </w: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27"/>
        </w:trPr>
        <w:tc>
          <w:tcPr>
            <w:tcW w:w="852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Ruben Minski</w:t>
            </w:r>
            <w:r>
              <w:rPr>
                <w:rFonts w:ascii="Arial" w:cs="Arial" w:eastAsia="Arial" w:hAnsi="Arial"/>
                <w:sz w:val="26"/>
                <w:szCs w:val="26"/>
                <w:color w:val="auto"/>
                <w:vertAlign w:val="superscript"/>
              </w:rPr>
              <w:t>(2)</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31,338,454</w:t>
            </w:r>
            <w:r>
              <w:rPr>
                <w:rFonts w:ascii="Arial" w:cs="Arial" w:eastAsia="Arial" w:hAnsi="Arial"/>
                <w:sz w:val="13"/>
                <w:szCs w:val="13"/>
                <w:color w:val="auto"/>
              </w:rPr>
              <w:t>(7)</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27.8%</w:t>
            </w:r>
          </w:p>
        </w:tc>
      </w:tr>
      <w:tr>
        <w:trPr>
          <w:trHeight w:val="227"/>
        </w:trPr>
        <w:tc>
          <w:tcPr>
            <w:tcW w:w="8520" w:type="dxa"/>
            <w:vAlign w:val="bottom"/>
            <w:gridSpan w:val="2"/>
          </w:tcPr>
          <w:p>
            <w:pPr>
              <w:spacing w:after="0" w:line="227" w:lineRule="exact"/>
              <w:rPr>
                <w:sz w:val="20"/>
                <w:szCs w:val="20"/>
                <w:color w:val="auto"/>
              </w:rPr>
            </w:pPr>
            <w:r>
              <w:rPr>
                <w:rFonts w:ascii="Arial" w:cs="Arial" w:eastAsia="Arial" w:hAnsi="Arial"/>
                <w:sz w:val="16"/>
                <w:szCs w:val="16"/>
                <w:color w:val="auto"/>
              </w:rPr>
              <w:t>Jose Minski</w:t>
            </w:r>
            <w:r>
              <w:rPr>
                <w:rFonts w:ascii="Arial" w:cs="Arial" w:eastAsia="Arial" w:hAnsi="Arial"/>
                <w:sz w:val="26"/>
                <w:szCs w:val="26"/>
                <w:color w:val="auto"/>
                <w:vertAlign w:val="superscript"/>
              </w:rPr>
              <w:t>(3)</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17,960,146</w:t>
            </w:r>
            <w:r>
              <w:rPr>
                <w:rFonts w:ascii="Arial" w:cs="Arial" w:eastAsia="Arial" w:hAnsi="Arial"/>
                <w:sz w:val="13"/>
                <w:szCs w:val="13"/>
                <w:color w:val="auto"/>
              </w:rPr>
              <w:t>(8)</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15.9%</w:t>
            </w:r>
          </w:p>
        </w:tc>
      </w:tr>
      <w:tr>
        <w:trPr>
          <w:trHeight w:val="227"/>
        </w:trPr>
        <w:tc>
          <w:tcPr>
            <w:tcW w:w="852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Alejandro Weinstein</w:t>
            </w:r>
            <w:r>
              <w:rPr>
                <w:rFonts w:ascii="Arial" w:cs="Arial" w:eastAsia="Arial" w:hAnsi="Arial"/>
                <w:sz w:val="26"/>
                <w:szCs w:val="26"/>
                <w:color w:val="auto"/>
                <w:vertAlign w:val="superscript"/>
              </w:rPr>
              <w:t>(4)</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15,877,516</w:t>
            </w:r>
            <w:r>
              <w:rPr>
                <w:rFonts w:ascii="Arial" w:cs="Arial" w:eastAsia="Arial" w:hAnsi="Arial"/>
                <w:sz w:val="13"/>
                <w:szCs w:val="13"/>
                <w:color w:val="auto"/>
              </w:rPr>
              <w:t>(9)</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14.0%</w:t>
            </w:r>
          </w:p>
        </w:tc>
      </w:tr>
      <w:tr>
        <w:trPr>
          <w:trHeight w:val="227"/>
        </w:trPr>
        <w:tc>
          <w:tcPr>
            <w:tcW w:w="8520" w:type="dxa"/>
            <w:vAlign w:val="bottom"/>
            <w:gridSpan w:val="2"/>
          </w:tcPr>
          <w:p>
            <w:pPr>
              <w:spacing w:after="0" w:line="227" w:lineRule="exact"/>
              <w:rPr>
                <w:sz w:val="20"/>
                <w:szCs w:val="20"/>
                <w:color w:val="auto"/>
              </w:rPr>
            </w:pPr>
            <w:r>
              <w:rPr>
                <w:rFonts w:ascii="Arial" w:cs="Arial" w:eastAsia="Arial" w:hAnsi="Arial"/>
                <w:sz w:val="16"/>
                <w:szCs w:val="16"/>
                <w:color w:val="auto"/>
              </w:rPr>
              <w:t>Kyle P. Bransfield</w:t>
            </w:r>
            <w:r>
              <w:rPr>
                <w:rFonts w:ascii="Arial" w:cs="Arial" w:eastAsia="Arial" w:hAnsi="Arial"/>
                <w:sz w:val="26"/>
                <w:szCs w:val="26"/>
                <w:color w:val="auto"/>
                <w:vertAlign w:val="superscript"/>
              </w:rPr>
              <w:t>(5)</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2,097,500</w:t>
            </w:r>
            <w:r>
              <w:rPr>
                <w:rFonts w:ascii="Arial" w:cs="Arial" w:eastAsia="Arial" w:hAnsi="Arial"/>
                <w:sz w:val="13"/>
                <w:szCs w:val="13"/>
                <w:color w:val="auto"/>
              </w:rPr>
              <w:t>(10)</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1.9%</w:t>
            </w:r>
          </w:p>
        </w:tc>
      </w:tr>
      <w:tr>
        <w:trPr>
          <w:trHeight w:val="227"/>
        </w:trPr>
        <w:tc>
          <w:tcPr>
            <w:tcW w:w="852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Daniel W. Fink</w:t>
            </w:r>
            <w:r>
              <w:rPr>
                <w:rFonts w:ascii="Arial" w:cs="Arial" w:eastAsia="Arial" w:hAnsi="Arial"/>
                <w:sz w:val="26"/>
                <w:szCs w:val="26"/>
                <w:color w:val="auto"/>
                <w:vertAlign w:val="superscript"/>
              </w:rPr>
              <w:t>(6)</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75,000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8"/>
        </w:trPr>
        <w:tc>
          <w:tcPr>
            <w:tcW w:w="8520" w:type="dxa"/>
            <w:vAlign w:val="bottom"/>
            <w:gridSpan w:val="2"/>
          </w:tcPr>
          <w:p>
            <w:pPr>
              <w:spacing w:after="0"/>
              <w:rPr>
                <w:sz w:val="20"/>
                <w:szCs w:val="20"/>
                <w:color w:val="auto"/>
              </w:rPr>
            </w:pPr>
            <w:r>
              <w:rPr>
                <w:rFonts w:ascii="Arial" w:cs="Arial" w:eastAsia="Arial" w:hAnsi="Arial"/>
                <w:sz w:val="16"/>
                <w:szCs w:val="16"/>
                <w:b w:val="1"/>
                <w:bCs w:val="1"/>
                <w:color w:val="auto"/>
              </w:rPr>
              <w:t>All directors and executive officers as a group (five individuals)</w:t>
            </w:r>
          </w:p>
        </w:tc>
        <w:tc>
          <w:tcPr>
            <w:tcW w:w="14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67,348,616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59.7%</w:t>
            </w:r>
          </w:p>
        </w:tc>
      </w:tr>
    </w:tbl>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79070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14" w:lineRule="exact"/>
        <w:rPr>
          <w:sz w:val="20"/>
          <w:szCs w:val="20"/>
          <w:color w:val="auto"/>
        </w:rPr>
      </w:pPr>
    </w:p>
    <w:p>
      <w:pPr>
        <w:ind w:left="284" w:hanging="284"/>
        <w:spacing w:after="0"/>
        <w:tabs>
          <w:tab w:leader="none" w:pos="284" w:val="left"/>
        </w:tabs>
        <w:numPr>
          <w:ilvl w:val="0"/>
          <w:numId w:val="46"/>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0" w:lineRule="exact"/>
        <w:rPr>
          <w:sz w:val="20"/>
          <w:szCs w:val="20"/>
          <w:color w:val="auto"/>
        </w:rPr>
      </w:pPr>
    </w:p>
    <w:p>
      <w:pPr>
        <w:ind w:left="284" w:hanging="284"/>
        <w:spacing w:after="0"/>
        <w:tabs>
          <w:tab w:leader="none" w:pos="2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Percentages are based on 112,824,183 Ordinary Shares outstanding as of April 28, 2022.</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business address of Mr. Ruben Minski is Calle 80 No. 78B-201, Barranquilla, Atlántico, Colombia.</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business address of Mr. Jose Minski is 21500 Biscayne Boulevard, Suite 600, Aventura, Florida 33180.</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business address of Mr. Weinstein is Calle 80 No. 78B-201, Barranquilla, Atlántico, Colombia.</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business address of Mr. Bransfield is 1425 Brickell Ave., #57B, Miami, Florida 33131.</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business address of Mr. Fink is 1425 Brickell Ave., #57B, Miami, Florida 33131.</w:t>
      </w:r>
    </w:p>
    <w:p>
      <w:pPr>
        <w:spacing w:after="0" w:line="7" w:lineRule="exact"/>
        <w:rPr>
          <w:rFonts w:ascii="Arial" w:cs="Arial" w:eastAsia="Arial" w:hAnsi="Arial"/>
          <w:sz w:val="16"/>
          <w:szCs w:val="16"/>
          <w:color w:val="auto"/>
        </w:rPr>
      </w:pPr>
    </w:p>
    <w:p>
      <w:pPr>
        <w:ind w:left="284" w:right="20" w:hanging="284"/>
        <w:spacing w:after="0" w:line="266" w:lineRule="auto"/>
        <w:tabs>
          <w:tab w:leader="none" w:pos="284"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Represents shares held by the Sognatore Trust, which holds shares for Bricol International Corp., a company wholly owned by Mr. Ruben Minski, as beneficiary. Includes 4,875,868 Ordinary Shares held in escrow subject to release pursuant to the terms of the Transaction Support Agreement and related escrow agreement.</w:t>
      </w:r>
    </w:p>
    <w:p>
      <w:pPr>
        <w:ind w:left="284" w:right="20" w:hanging="284"/>
        <w:spacing w:after="0" w:line="249" w:lineRule="auto"/>
        <w:tabs>
          <w:tab w:leader="none" w:pos="2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shares held by the Simphony Trust, which holds shares for Mr. Jose Minski as beneficiary. Includes 2,794,372 Ordinary Shares held in escrow subject to release pursuant to the terms of the Transaction Support Agreement and related escrow agreement.</w:t>
      </w:r>
    </w:p>
    <w:p>
      <w:pPr>
        <w:ind w:left="284" w:hanging="284"/>
        <w:spacing w:after="0"/>
        <w:tabs>
          <w:tab w:leader="none" w:pos="2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shares held by Hoche Partners Pharma Holding S.A., an entity controlled by Mr. Weinstein.</w:t>
      </w:r>
    </w:p>
    <w:p>
      <w:pPr>
        <w:spacing w:after="0" w:line="7" w:lineRule="exact"/>
        <w:rPr>
          <w:rFonts w:ascii="Arial" w:cs="Arial" w:eastAsia="Arial" w:hAnsi="Arial"/>
          <w:sz w:val="16"/>
          <w:szCs w:val="16"/>
          <w:color w:val="auto"/>
        </w:rPr>
      </w:pPr>
    </w:p>
    <w:p>
      <w:pPr>
        <w:jc w:val="both"/>
        <w:ind w:left="284" w:hanging="284"/>
        <w:spacing w:after="0" w:line="279" w:lineRule="auto"/>
        <w:tabs>
          <w:tab w:leader="none" w:pos="284"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Includes shares held by Union Acquisition Associates II, LLC, an entity controlled by Mr. Bransfield, and PENSCO Trust Company, which holds shares for Mr. Bransfield as beneficiary. Includes 625,000 Ordinary Shares held in escrow subject to release pursuant to the terms of the Transaction Support Agreement and related escrow agreement.</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7. MAJOR SHAREHOLDERS AND RELATED-PARTY TRANSACTIONS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 MAJOR SHAREHOLDERS</w:t>
      </w:r>
    </w:p>
    <w:p>
      <w:pPr>
        <w:spacing w:after="0" w:line="202" w:lineRule="exact"/>
        <w:rPr>
          <w:sz w:val="20"/>
          <w:szCs w:val="20"/>
          <w:color w:val="auto"/>
        </w:rPr>
      </w:pPr>
    </w:p>
    <w:p>
      <w:pPr>
        <w:jc w:val="both"/>
        <w:ind w:left="4" w:firstLine="574"/>
        <w:spacing w:after="0" w:line="275" w:lineRule="auto"/>
        <w:rPr>
          <w:sz w:val="20"/>
          <w:szCs w:val="20"/>
          <w:color w:val="auto"/>
        </w:rPr>
      </w:pPr>
      <w:r>
        <w:rPr>
          <w:rFonts w:ascii="Arial" w:cs="Arial" w:eastAsia="Arial" w:hAnsi="Arial"/>
          <w:sz w:val="16"/>
          <w:szCs w:val="16"/>
          <w:color w:val="auto"/>
        </w:rPr>
        <w:t>The following table shows the beneficial ownership of Ordinary Shares as of April 28, 2022 by each person known to by us to be the beneficial owner of more than 5% of the Ordinary Shares.</w:t>
      </w:r>
    </w:p>
    <w:p>
      <w:pPr>
        <w:spacing w:after="0" w:line="152"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of the Closing through the exercise of any option, warrant or any other right.</w:t>
      </w:r>
    </w:p>
    <w:p>
      <w:pPr>
        <w:spacing w:after="0" w:line="165"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We have based percentage ownership on 112,824,183 Ordinary Shares outstanding as of April 28, 2022.</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99" w:name="page100"/>
    <w:bookmarkEnd w:id="99"/>
    <w:p>
      <w:pPr>
        <w:ind w:left="4" w:right="20" w:firstLine="574"/>
        <w:spacing w:after="0" w:line="275" w:lineRule="auto"/>
        <w:rPr>
          <w:sz w:val="20"/>
          <w:szCs w:val="20"/>
          <w:color w:val="auto"/>
        </w:rPr>
      </w:pPr>
      <w:r>
        <w:rPr>
          <w:rFonts w:ascii="Arial" w:cs="Arial" w:eastAsia="Arial" w:hAnsi="Arial"/>
          <w:sz w:val="16"/>
          <w:szCs w:val="16"/>
          <w:color w:val="auto"/>
        </w:rPr>
        <w:t>Unless otherwise indicated, we believe that all persons named in the table below have sole voting and investment power with respect to the Ordinary Shares beneficially owned by them.</w:t>
      </w:r>
    </w:p>
    <w:p>
      <w:pPr>
        <w:spacing w:after="0" w:line="93" w:lineRule="exact"/>
        <w:rPr>
          <w:sz w:val="20"/>
          <w:szCs w:val="20"/>
          <w:color w:val="auto"/>
        </w:rPr>
      </w:pPr>
    </w:p>
    <w:tbl>
      <w:tblPr>
        <w:tblLayout w:type="fixed"/>
        <w:tblInd w:w="4" w:type="dxa"/>
        <w:tblCellMar>
          <w:top w:w="0" w:type="dxa"/>
          <w:left w:w="0" w:type="dxa"/>
          <w:bottom w:w="0" w:type="dxa"/>
          <w:right w:w="0" w:type="dxa"/>
        </w:tblCellMar>
      </w:tblPr>
      <w:tr>
        <w:trPr>
          <w:trHeight w:val="303"/>
        </w:trPr>
        <w:tc>
          <w:tcPr>
            <w:tcW w:w="856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4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Number</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1"/>
              </w:rPr>
              <w:t>Percentage</w:t>
            </w:r>
            <w:r>
              <w:rPr>
                <w:rFonts w:ascii="Arial" w:cs="Arial" w:eastAsia="Arial" w:hAnsi="Arial"/>
                <w:sz w:val="26"/>
                <w:szCs w:val="26"/>
                <w:b w:val="1"/>
                <w:bCs w:val="1"/>
                <w:color w:val="auto"/>
                <w:w w:val="91"/>
                <w:vertAlign w:val="superscript"/>
              </w:rPr>
              <w:t>(1)</w:t>
            </w:r>
          </w:p>
        </w:tc>
      </w:tr>
      <w:tr>
        <w:trPr>
          <w:trHeight w:val="191"/>
        </w:trPr>
        <w:tc>
          <w:tcPr>
            <w:tcW w:w="84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i w:val="1"/>
                <w:iCs w:val="1"/>
                <w:color w:val="auto"/>
              </w:rPr>
              <w:t>Five Percent Holders:</w:t>
            </w: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7"/>
        </w:trPr>
        <w:tc>
          <w:tcPr>
            <w:tcW w:w="856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Sognatore Trust</w:t>
            </w:r>
            <w:r>
              <w:rPr>
                <w:rFonts w:ascii="Arial" w:cs="Arial" w:eastAsia="Arial" w:hAnsi="Arial"/>
                <w:sz w:val="26"/>
                <w:szCs w:val="26"/>
                <w:color w:val="auto"/>
                <w:vertAlign w:val="superscript"/>
              </w:rPr>
              <w:t>(2)</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31,338,454</w:t>
            </w:r>
            <w:r>
              <w:rPr>
                <w:rFonts w:ascii="Arial" w:cs="Arial" w:eastAsia="Arial" w:hAnsi="Arial"/>
                <w:sz w:val="13"/>
                <w:szCs w:val="13"/>
                <w:color w:val="auto"/>
              </w:rPr>
              <w:t>(7)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27.8%</w:t>
            </w:r>
          </w:p>
        </w:tc>
      </w:tr>
      <w:tr>
        <w:trPr>
          <w:trHeight w:val="227"/>
        </w:trPr>
        <w:tc>
          <w:tcPr>
            <w:tcW w:w="8560" w:type="dxa"/>
            <w:vAlign w:val="bottom"/>
            <w:gridSpan w:val="2"/>
          </w:tcPr>
          <w:p>
            <w:pPr>
              <w:spacing w:after="0" w:line="227" w:lineRule="exact"/>
              <w:rPr>
                <w:sz w:val="20"/>
                <w:szCs w:val="20"/>
                <w:color w:val="auto"/>
              </w:rPr>
            </w:pPr>
            <w:r>
              <w:rPr>
                <w:rFonts w:ascii="Arial" w:cs="Arial" w:eastAsia="Arial" w:hAnsi="Arial"/>
                <w:sz w:val="16"/>
                <w:szCs w:val="16"/>
                <w:color w:val="auto"/>
              </w:rPr>
              <w:t>Simphony Trust</w:t>
            </w:r>
            <w:r>
              <w:rPr>
                <w:rFonts w:ascii="Arial" w:cs="Arial" w:eastAsia="Arial" w:hAnsi="Arial"/>
                <w:sz w:val="26"/>
                <w:szCs w:val="26"/>
                <w:color w:val="auto"/>
                <w:vertAlign w:val="superscript"/>
              </w:rPr>
              <w:t>(3)</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17,960,146</w:t>
            </w:r>
            <w:r>
              <w:rPr>
                <w:rFonts w:ascii="Arial" w:cs="Arial" w:eastAsia="Arial" w:hAnsi="Arial"/>
                <w:sz w:val="13"/>
                <w:szCs w:val="13"/>
                <w:color w:val="auto"/>
              </w:rPr>
              <w:t>(8)</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15.9%</w:t>
            </w:r>
          </w:p>
        </w:tc>
      </w:tr>
      <w:tr>
        <w:trPr>
          <w:trHeight w:val="227"/>
        </w:trPr>
        <w:tc>
          <w:tcPr>
            <w:tcW w:w="856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Deseja Trust</w:t>
            </w:r>
            <w:r>
              <w:rPr>
                <w:rFonts w:ascii="Arial" w:cs="Arial" w:eastAsia="Arial" w:hAnsi="Arial"/>
                <w:sz w:val="26"/>
                <w:szCs w:val="26"/>
                <w:color w:val="auto"/>
                <w:vertAlign w:val="superscript"/>
              </w:rPr>
              <w:t>(4)</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17,960,146</w:t>
            </w:r>
            <w:r>
              <w:rPr>
                <w:rFonts w:ascii="Arial" w:cs="Arial" w:eastAsia="Arial" w:hAnsi="Arial"/>
                <w:sz w:val="13"/>
                <w:szCs w:val="13"/>
                <w:color w:val="auto"/>
              </w:rPr>
              <w:t>(9)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15.9%</w:t>
            </w:r>
          </w:p>
        </w:tc>
      </w:tr>
      <w:tr>
        <w:trPr>
          <w:trHeight w:val="227"/>
        </w:trPr>
        <w:tc>
          <w:tcPr>
            <w:tcW w:w="8560" w:type="dxa"/>
            <w:vAlign w:val="bottom"/>
            <w:gridSpan w:val="2"/>
          </w:tcPr>
          <w:p>
            <w:pPr>
              <w:spacing w:after="0" w:line="227" w:lineRule="exact"/>
              <w:rPr>
                <w:sz w:val="20"/>
                <w:szCs w:val="20"/>
                <w:color w:val="auto"/>
              </w:rPr>
            </w:pPr>
            <w:r>
              <w:rPr>
                <w:rFonts w:ascii="Arial" w:cs="Arial" w:eastAsia="Arial" w:hAnsi="Arial"/>
                <w:sz w:val="16"/>
                <w:szCs w:val="16"/>
                <w:color w:val="auto"/>
              </w:rPr>
              <w:t>Hoche Partners Pharma Holding S.A.</w:t>
            </w:r>
            <w:r>
              <w:rPr>
                <w:rFonts w:ascii="Arial" w:cs="Arial" w:eastAsia="Arial" w:hAnsi="Arial"/>
                <w:sz w:val="26"/>
                <w:szCs w:val="26"/>
                <w:color w:val="auto"/>
                <w:vertAlign w:val="superscript"/>
              </w:rPr>
              <w:t>(5)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15,877,516</w:t>
            </w:r>
            <w:r>
              <w:rPr>
                <w:rFonts w:ascii="Arial" w:cs="Arial" w:eastAsia="Arial" w:hAnsi="Arial"/>
                <w:sz w:val="13"/>
                <w:szCs w:val="13"/>
                <w:color w:val="auto"/>
              </w:rPr>
              <w:t>(10)</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14.1%</w:t>
            </w:r>
          </w:p>
        </w:tc>
      </w:tr>
      <w:tr>
        <w:trPr>
          <w:trHeight w:val="227"/>
        </w:trPr>
        <w:tc>
          <w:tcPr>
            <w:tcW w:w="856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International Finance Corporation</w:t>
            </w:r>
            <w:r>
              <w:rPr>
                <w:rFonts w:ascii="Arial" w:cs="Arial" w:eastAsia="Arial" w:hAnsi="Arial"/>
                <w:sz w:val="26"/>
                <w:szCs w:val="26"/>
                <w:color w:val="auto"/>
                <w:vertAlign w:val="superscript"/>
              </w:rPr>
              <w:t>(6)</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9,492,427</w:t>
            </w:r>
            <w:r>
              <w:rPr>
                <w:rFonts w:ascii="Arial" w:cs="Arial" w:eastAsia="Arial" w:hAnsi="Arial"/>
                <w:sz w:val="13"/>
                <w:szCs w:val="13"/>
                <w:color w:val="auto"/>
              </w:rPr>
              <w:t>(11)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r>
    </w:tbl>
    <w:p>
      <w:pPr>
        <w:spacing w:after="0" w:line="17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79070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14" w:lineRule="exact"/>
        <w:rPr>
          <w:sz w:val="20"/>
          <w:szCs w:val="20"/>
          <w:color w:val="auto"/>
        </w:rPr>
      </w:pPr>
    </w:p>
    <w:p>
      <w:pPr>
        <w:ind w:left="284" w:hanging="284"/>
        <w:spacing w:after="0"/>
        <w:tabs>
          <w:tab w:leader="none" w:pos="284"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Percentages are based on 112,824,183 Ordinary Shares outstanding as of April 28, 2022.</w:t>
      </w:r>
    </w:p>
    <w:p>
      <w:pPr>
        <w:spacing w:after="0" w:line="19" w:lineRule="exact"/>
        <w:rPr>
          <w:rFonts w:ascii="Arial" w:cs="Arial" w:eastAsia="Arial" w:hAnsi="Arial"/>
          <w:sz w:val="16"/>
          <w:szCs w:val="16"/>
          <w:color w:val="auto"/>
        </w:rPr>
      </w:pPr>
    </w:p>
    <w:p>
      <w:pPr>
        <w:ind w:left="284" w:hanging="284"/>
        <w:spacing w:after="0"/>
        <w:tabs>
          <w:tab w:leader="none" w:pos="28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business address of the Sognatore Trust is Oficina 503A-02, Edificio Quantum (500) Ruta 8 km. 17.500 Zonamérica, Montevideo, Uruguay.</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business address of the Simphony Trust is 29 Bancroft Mills Road, Wilmington, Delaware 19806.</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business address of the Deseja Trust is 29 Bancroft Mills Road, Wilmington, Delaware 19806.</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business address of Hoche Partners Pharma Holding S.A. is 3A, Val Ste Croix, L-1371 Luxembourg, Grand Duchy of Luxembourg.</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business address of the International Finance Corporation is 2121 Pennsylvania Avenue, NW, Washington DC, 20433.</w:t>
      </w:r>
    </w:p>
    <w:p>
      <w:pPr>
        <w:spacing w:after="0" w:line="7" w:lineRule="exact"/>
        <w:rPr>
          <w:rFonts w:ascii="Arial" w:cs="Arial" w:eastAsia="Arial" w:hAnsi="Arial"/>
          <w:sz w:val="16"/>
          <w:szCs w:val="16"/>
          <w:color w:val="auto"/>
        </w:rPr>
      </w:pPr>
    </w:p>
    <w:p>
      <w:pPr>
        <w:jc w:val="both"/>
        <w:ind w:left="284" w:right="20" w:hanging="284"/>
        <w:spacing w:after="0" w:line="249" w:lineRule="auto"/>
        <w:tabs>
          <w:tab w:leader="none" w:pos="284"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a Schedule 13D filed on October 12, 2021. Represents shares held by the Sognatore Trust, which holds shares for Bricol International Corp., a company wholly owned by Mr. Ruben Minski, as beneficiary. Includes 4,875,868 Ordinary Shares held in escrow subject to release pursuant to the terms of the Transaction Support Agreement and related escrow agreement.</w:t>
      </w:r>
    </w:p>
    <w:p>
      <w:pPr>
        <w:ind w:left="284" w:right="20" w:hanging="284"/>
        <w:spacing w:after="0" w:line="266" w:lineRule="auto"/>
        <w:tabs>
          <w:tab w:leader="none" w:pos="284"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a Schedule 13D filed on October 12, 2021. Represents shares held by the Simphony Trust, which holds shares for Mr. Jose Minski as beneficiary. Includes 2,794,372 Ordinary Shares held in escrow subject to release pursuant to the terms of the Transaction Support Agreement and related escrow agreement.</w:t>
      </w:r>
    </w:p>
    <w:p>
      <w:pPr>
        <w:ind w:left="284" w:right="20" w:hanging="284"/>
        <w:spacing w:after="0" w:line="266" w:lineRule="auto"/>
        <w:tabs>
          <w:tab w:leader="none" w:pos="284"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a Schedule 13D filed on October 12, 2021. Represents shares held by the Deseja Trust, which holds shares for Mr. Meyer Minski as beneficiary. Includes 2,794,372 Ordinary Shares held in escrow subject to release pursuant to the terms of the Transaction Support Agreement and related escrow agreement.</w:t>
      </w:r>
    </w:p>
    <w:p>
      <w:pPr>
        <w:ind w:left="284" w:hanging="284"/>
        <w:spacing w:after="0"/>
        <w:tabs>
          <w:tab w:leader="none" w:pos="284"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a Schedule 13D filed on October 12, 2021. Represents shares held by Hoche Partners Pharma Holding S.A., an entity controlled by Mr. Weinstein.</w:t>
      </w:r>
    </w:p>
    <w:p>
      <w:pPr>
        <w:spacing w:after="0" w:line="18" w:lineRule="exact"/>
        <w:rPr>
          <w:rFonts w:ascii="Arial" w:cs="Arial" w:eastAsia="Arial" w:hAnsi="Arial"/>
          <w:sz w:val="15"/>
          <w:szCs w:val="15"/>
          <w:color w:val="auto"/>
        </w:rPr>
      </w:pPr>
    </w:p>
    <w:p>
      <w:pPr>
        <w:ind w:left="284" w:hanging="284"/>
        <w:spacing w:after="0"/>
        <w:tabs>
          <w:tab w:leader="none" w:pos="284"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a Schedule 13G filed on February 14, 2022.</w:t>
      </w:r>
    </w:p>
    <w:p>
      <w:pPr>
        <w:spacing w:after="0" w:line="38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color w:val="auto"/>
        </w:rPr>
        <w:t>B. RELATED-PARTY TRANSACTIONS</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i w:val="1"/>
          <w:iCs w:val="1"/>
          <w:color w:val="auto"/>
        </w:rPr>
        <w:t>We have engaged in, and we expect that we will continue to engage in, transactions with related parties, including, without limitation, the transactions described below. We believe the terms and conditions of these arrangements are generally equivalent to those which we could obtain from an unaffiliated third party, to the extent there are third parties which could provide comparable goods or services. For more information regarding our relationships and transactions with related parties, see Note 29 to our Annual Audited Consolidated Financial Statements, included elsewhere in this annual report.</w:t>
      </w:r>
    </w:p>
    <w:p>
      <w:pPr>
        <w:spacing w:after="0" w:line="165"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The Board of Directors has adopted a written related person transaction policy that sets forth certain policies and procedures for the review and approval or ratification of related person transactions, which comprise any transaction, arrangement or relationship in which the Company or any of its subsidiaries was, is or will be a participant, the amount of which involved exceeds $120,000, and in which any related person had, has or will have a direct or indirect material interest. A “related person” for purposes of such policy means: (i) any person who is, or at any time during the applicable period was, one of the Company’s executive officers or one of the Company’s directors; (ii) any person who is known by the Company to be the beneficial owner of more than 5% of the Ordinary Shares; (iii) any immediate family member of any of the foregoing persons (which means any child, stepchild, parent, stepparent, spouse, sibling, mother-in-law, father-in-law, son-in-law, daughter-in-law, brother-in-law or sister-in-law) of a director, executive officer or a beneficial owner of more than 5% of the Company’s voting stock, and any person (other than a tenant or employee) sharing the household of such director, executive officer or beneficial owner of more than 5% of the Ordinary Shares; and (iv) any firm, corporation or other entity in which any of the foregoing persons is a partner or principal or in a similar position or in which such person has a 10% or greater beneficial ownership interest.</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sets forth the entities Procaps has engaged in related party transactions with and their relationship to Procaps.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gridSpan w:val="2"/>
          </w:tcPr>
          <w:p>
            <w:pPr>
              <w:spacing w:after="0"/>
              <w:rPr>
                <w:sz w:val="20"/>
                <w:szCs w:val="20"/>
                <w:color w:val="auto"/>
              </w:rPr>
            </w:pPr>
            <w:r>
              <w:rPr>
                <w:rFonts w:ascii="Arial" w:cs="Arial" w:eastAsia="Arial" w:hAnsi="Arial"/>
                <w:sz w:val="16"/>
                <w:szCs w:val="16"/>
                <w:b w:val="1"/>
                <w:bCs w:val="1"/>
                <w:color w:val="auto"/>
              </w:rPr>
              <w:t>Related Party</w:t>
            </w:r>
          </w:p>
        </w:tc>
        <w:tc>
          <w:tcPr>
            <w:tcW w:w="7100" w:type="dxa"/>
            <w:vAlign w:val="bottom"/>
          </w:tcPr>
          <w:p>
            <w:pPr>
              <w:ind w:left="2740"/>
              <w:spacing w:after="0"/>
              <w:rPr>
                <w:sz w:val="20"/>
                <w:szCs w:val="20"/>
                <w:color w:val="auto"/>
              </w:rPr>
            </w:pPr>
            <w:r>
              <w:rPr>
                <w:rFonts w:ascii="Arial" w:cs="Arial" w:eastAsia="Arial" w:hAnsi="Arial"/>
                <w:sz w:val="16"/>
                <w:szCs w:val="16"/>
                <w:b w:val="1"/>
                <w:bCs w:val="1"/>
                <w:color w:val="auto"/>
              </w:rPr>
              <w:t>Relationship to Procaps</w:t>
            </w:r>
          </w:p>
        </w:tc>
      </w:tr>
      <w:tr>
        <w:trPr>
          <w:trHeight w:val="179"/>
        </w:trPr>
        <w:tc>
          <w:tcPr>
            <w:tcW w:w="394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rPr>
              <w:t>Promedical S.A.</w:t>
            </w:r>
          </w:p>
        </w:tc>
        <w:tc>
          <w:tcPr>
            <w:tcW w:w="220" w:type="dxa"/>
            <w:vAlign w:val="bottom"/>
            <w:tcBorders>
              <w:top w:val="single" w:sz="8" w:color="CCEEFF"/>
            </w:tcBorders>
            <w:shd w:val="clear" w:color="auto" w:fill="CCEEFF"/>
          </w:tcPr>
          <w:p>
            <w:pPr>
              <w:spacing w:after="0"/>
              <w:rPr>
                <w:sz w:val="15"/>
                <w:szCs w:val="15"/>
                <w:color w:val="auto"/>
              </w:rPr>
            </w:pPr>
          </w:p>
        </w:tc>
        <w:tc>
          <w:tcPr>
            <w:tcW w:w="710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rPr>
              <w:t>A Bolivian sociedad anónima owned 50% by the Minski Family and measured as an equity method</w:t>
            </w:r>
          </w:p>
        </w:tc>
      </w:tr>
      <w:tr>
        <w:trPr>
          <w:trHeight w:val="204"/>
        </w:trPr>
        <w:tc>
          <w:tcPr>
            <w:tcW w:w="3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investment.</w:t>
            </w:r>
          </w:p>
        </w:tc>
      </w:tr>
      <w:tr>
        <w:trPr>
          <w:trHeight w:val="204"/>
        </w:trPr>
        <w:tc>
          <w:tcPr>
            <w:tcW w:w="4160" w:type="dxa"/>
            <w:vAlign w:val="bottom"/>
            <w:gridSpan w:val="2"/>
          </w:tcPr>
          <w:p>
            <w:pPr>
              <w:spacing w:after="0"/>
              <w:rPr>
                <w:sz w:val="20"/>
                <w:szCs w:val="20"/>
                <w:color w:val="auto"/>
              </w:rPr>
            </w:pPr>
            <w:r>
              <w:rPr>
                <w:rFonts w:ascii="Arial" w:cs="Arial" w:eastAsia="Arial" w:hAnsi="Arial"/>
                <w:sz w:val="16"/>
                <w:szCs w:val="16"/>
                <w:color w:val="auto"/>
              </w:rPr>
              <w:t>Fundación Procaps</w:t>
            </w:r>
          </w:p>
        </w:tc>
        <w:tc>
          <w:tcPr>
            <w:tcW w:w="7100" w:type="dxa"/>
            <w:vAlign w:val="bottom"/>
          </w:tcPr>
          <w:p>
            <w:pPr>
              <w:spacing w:after="0"/>
              <w:rPr>
                <w:sz w:val="20"/>
                <w:szCs w:val="20"/>
                <w:color w:val="auto"/>
              </w:rPr>
            </w:pPr>
            <w:r>
              <w:rPr>
                <w:rFonts w:ascii="Arial" w:cs="Arial" w:eastAsia="Arial" w:hAnsi="Arial"/>
                <w:sz w:val="16"/>
                <w:szCs w:val="16"/>
                <w:color w:val="auto"/>
              </w:rPr>
              <w:t>A Colombian non-profit entity owned 100% by members of the Minski Family.</w:t>
            </w: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0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Industrias Intercaps de Venezuela</w:t>
            </w: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 Venezuelan compañía anónima owned 100% by members of the Minski Family and Hoche.</w:t>
            </w:r>
          </w:p>
        </w:tc>
      </w:tr>
      <w:tr>
        <w:trPr>
          <w:trHeight w:val="204"/>
        </w:trPr>
        <w:tc>
          <w:tcPr>
            <w:tcW w:w="4160" w:type="dxa"/>
            <w:vAlign w:val="bottom"/>
            <w:gridSpan w:val="2"/>
          </w:tcPr>
          <w:p>
            <w:pPr>
              <w:spacing w:after="0"/>
              <w:rPr>
                <w:sz w:val="20"/>
                <w:szCs w:val="20"/>
                <w:color w:val="auto"/>
              </w:rPr>
            </w:pPr>
            <w:r>
              <w:rPr>
                <w:rFonts w:ascii="Arial" w:cs="Arial" w:eastAsia="Arial" w:hAnsi="Arial"/>
                <w:sz w:val="16"/>
                <w:szCs w:val="16"/>
                <w:color w:val="auto"/>
              </w:rPr>
              <w:t>Originates Inc.</w:t>
            </w:r>
          </w:p>
        </w:tc>
        <w:tc>
          <w:tcPr>
            <w:tcW w:w="7100" w:type="dxa"/>
            <w:vAlign w:val="bottom"/>
          </w:tcPr>
          <w:p>
            <w:pPr>
              <w:spacing w:after="0"/>
              <w:rPr>
                <w:sz w:val="20"/>
                <w:szCs w:val="20"/>
                <w:color w:val="auto"/>
              </w:rPr>
            </w:pPr>
            <w:r>
              <w:rPr>
                <w:rFonts w:ascii="Arial" w:cs="Arial" w:eastAsia="Arial" w:hAnsi="Arial"/>
                <w:sz w:val="16"/>
                <w:szCs w:val="16"/>
                <w:color w:val="auto"/>
              </w:rPr>
              <w:t>A Florida corporation owned 100% by members of the Minski Family.</w:t>
            </w: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0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Gelco S.A.S.</w:t>
            </w: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8"/>
              </w:rPr>
              <w:t>A Colombian sociedad por acciones simplificada that is 25% owned by members of the Minski Family.</w:t>
            </w:r>
          </w:p>
        </w:tc>
      </w:tr>
      <w:tr>
        <w:trPr>
          <w:trHeight w:val="204"/>
        </w:trPr>
        <w:tc>
          <w:tcPr>
            <w:tcW w:w="4160" w:type="dxa"/>
            <w:vAlign w:val="bottom"/>
            <w:gridSpan w:val="2"/>
          </w:tcPr>
          <w:p>
            <w:pPr>
              <w:spacing w:after="0"/>
              <w:rPr>
                <w:sz w:val="20"/>
                <w:szCs w:val="20"/>
                <w:color w:val="auto"/>
              </w:rPr>
            </w:pPr>
            <w:r>
              <w:rPr>
                <w:rFonts w:ascii="Arial" w:cs="Arial" w:eastAsia="Arial" w:hAnsi="Arial"/>
                <w:sz w:val="16"/>
                <w:szCs w:val="16"/>
                <w:color w:val="auto"/>
              </w:rPr>
              <w:t>Productora de Gelatina S.A.S.</w:t>
            </w:r>
          </w:p>
        </w:tc>
        <w:tc>
          <w:tcPr>
            <w:tcW w:w="7100" w:type="dxa"/>
            <w:vAlign w:val="bottom"/>
          </w:tcPr>
          <w:p>
            <w:pPr>
              <w:spacing w:after="0"/>
              <w:rPr>
                <w:sz w:val="20"/>
                <w:szCs w:val="20"/>
                <w:color w:val="auto"/>
              </w:rPr>
            </w:pPr>
            <w:r>
              <w:rPr>
                <w:rFonts w:ascii="Arial" w:cs="Arial" w:eastAsia="Arial" w:hAnsi="Arial"/>
                <w:sz w:val="16"/>
                <w:szCs w:val="16"/>
                <w:color w:val="auto"/>
                <w:w w:val="98"/>
              </w:rPr>
              <w:t>A Colombian sociedad por acciones simplificada that is 25% owned by members of the Minski Family.</w:t>
            </w: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0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Laboratorios Vivax Pharmaceutical S.A.</w:t>
            </w: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 Venezuelan compañía anónima owned 100% by members of the Minski Family.</w:t>
            </w:r>
          </w:p>
        </w:tc>
      </w:tr>
      <w:tr>
        <w:trPr>
          <w:trHeight w:val="204"/>
        </w:trPr>
        <w:tc>
          <w:tcPr>
            <w:tcW w:w="4160" w:type="dxa"/>
            <w:vAlign w:val="bottom"/>
            <w:gridSpan w:val="2"/>
          </w:tcPr>
          <w:p>
            <w:pPr>
              <w:spacing w:after="0"/>
              <w:rPr>
                <w:sz w:val="20"/>
                <w:szCs w:val="20"/>
                <w:color w:val="auto"/>
              </w:rPr>
            </w:pPr>
            <w:r>
              <w:rPr>
                <w:rFonts w:ascii="Arial" w:cs="Arial" w:eastAsia="Arial" w:hAnsi="Arial"/>
                <w:sz w:val="16"/>
                <w:szCs w:val="16"/>
                <w:color w:val="auto"/>
              </w:rPr>
              <w:t>C.I. Naturmega S.A.</w:t>
            </w:r>
          </w:p>
        </w:tc>
        <w:tc>
          <w:tcPr>
            <w:tcW w:w="7100" w:type="dxa"/>
            <w:vAlign w:val="bottom"/>
          </w:tcPr>
          <w:p>
            <w:pPr>
              <w:spacing w:after="0"/>
              <w:rPr>
                <w:sz w:val="20"/>
                <w:szCs w:val="20"/>
                <w:color w:val="auto"/>
              </w:rPr>
            </w:pPr>
            <w:r>
              <w:rPr>
                <w:rFonts w:ascii="Arial" w:cs="Arial" w:eastAsia="Arial" w:hAnsi="Arial"/>
                <w:sz w:val="16"/>
                <w:szCs w:val="16"/>
                <w:color w:val="auto"/>
              </w:rPr>
              <w:t>A Colombian sociedad anónima owned 100% by members of the Minski Family.</w:t>
            </w: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0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Simviel S.A.S.</w:t>
            </w: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 Colombian sociedad por acciones simplificada owned 100% by a member of the Minski Family.</w:t>
            </w:r>
          </w:p>
        </w:tc>
      </w:tr>
      <w:tr>
        <w:trPr>
          <w:trHeight w:val="204"/>
        </w:trPr>
        <w:tc>
          <w:tcPr>
            <w:tcW w:w="4160" w:type="dxa"/>
            <w:vAlign w:val="bottom"/>
            <w:gridSpan w:val="2"/>
          </w:tcPr>
          <w:p>
            <w:pPr>
              <w:spacing w:after="0"/>
              <w:rPr>
                <w:sz w:val="20"/>
                <w:szCs w:val="20"/>
                <w:color w:val="auto"/>
              </w:rPr>
            </w:pPr>
            <w:r>
              <w:rPr>
                <w:rFonts w:ascii="Arial" w:cs="Arial" w:eastAsia="Arial" w:hAnsi="Arial"/>
                <w:sz w:val="16"/>
                <w:szCs w:val="16"/>
                <w:color w:val="auto"/>
              </w:rPr>
              <w:t>Pharma Perspectives S.A.</w:t>
            </w:r>
          </w:p>
        </w:tc>
        <w:tc>
          <w:tcPr>
            <w:tcW w:w="7100" w:type="dxa"/>
            <w:vAlign w:val="bottom"/>
          </w:tcPr>
          <w:p>
            <w:pPr>
              <w:spacing w:after="0"/>
              <w:rPr>
                <w:sz w:val="20"/>
                <w:szCs w:val="20"/>
                <w:color w:val="auto"/>
              </w:rPr>
            </w:pPr>
            <w:r>
              <w:rPr>
                <w:rFonts w:ascii="Arial" w:cs="Arial" w:eastAsia="Arial" w:hAnsi="Arial"/>
                <w:sz w:val="16"/>
                <w:szCs w:val="16"/>
                <w:color w:val="auto"/>
              </w:rPr>
              <w:t>A Costa Rican sociedad anónima owned 100% by members of the Minski Family and Hoche.</w:t>
            </w: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0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Carlton Mega Inversiones S.A.</w:t>
            </w: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 Costa Rican sociedad anónima owned 100% by members of the Minski Family and Hoche.</w:t>
            </w:r>
          </w:p>
        </w:tc>
      </w:tr>
      <w:tr>
        <w:trPr>
          <w:trHeight w:val="204"/>
        </w:trPr>
        <w:tc>
          <w:tcPr>
            <w:tcW w:w="4160" w:type="dxa"/>
            <w:vAlign w:val="bottom"/>
            <w:gridSpan w:val="2"/>
          </w:tcPr>
          <w:p>
            <w:pPr>
              <w:spacing w:after="0"/>
              <w:rPr>
                <w:sz w:val="20"/>
                <w:szCs w:val="20"/>
                <w:color w:val="auto"/>
              </w:rPr>
            </w:pPr>
            <w:r>
              <w:rPr>
                <w:rFonts w:ascii="Arial" w:cs="Arial" w:eastAsia="Arial" w:hAnsi="Arial"/>
                <w:sz w:val="16"/>
                <w:szCs w:val="16"/>
                <w:color w:val="auto"/>
              </w:rPr>
              <w:t>Sognatore Trust</w:t>
            </w:r>
          </w:p>
        </w:tc>
        <w:tc>
          <w:tcPr>
            <w:tcW w:w="7100" w:type="dxa"/>
            <w:vAlign w:val="bottom"/>
          </w:tcPr>
          <w:p>
            <w:pPr>
              <w:spacing w:after="0"/>
              <w:rPr>
                <w:sz w:val="20"/>
                <w:szCs w:val="20"/>
                <w:color w:val="auto"/>
              </w:rPr>
            </w:pPr>
            <w:r>
              <w:rPr>
                <w:rFonts w:ascii="Arial" w:cs="Arial" w:eastAsia="Arial" w:hAnsi="Arial"/>
                <w:sz w:val="16"/>
                <w:szCs w:val="16"/>
                <w:color w:val="auto"/>
              </w:rPr>
              <w:t>A trust for the benefit of certain members of the Minski Family.</w:t>
            </w: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0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Deseja Trust</w:t>
            </w: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 trust for the benefit of certain members of the Minski Family.</w:t>
            </w:r>
          </w:p>
        </w:tc>
      </w:tr>
      <w:tr>
        <w:trPr>
          <w:trHeight w:val="204"/>
        </w:trPr>
        <w:tc>
          <w:tcPr>
            <w:tcW w:w="4160" w:type="dxa"/>
            <w:vAlign w:val="bottom"/>
            <w:gridSpan w:val="2"/>
          </w:tcPr>
          <w:p>
            <w:pPr>
              <w:spacing w:after="0"/>
              <w:rPr>
                <w:sz w:val="20"/>
                <w:szCs w:val="20"/>
                <w:color w:val="auto"/>
              </w:rPr>
            </w:pPr>
            <w:r>
              <w:rPr>
                <w:rFonts w:ascii="Arial" w:cs="Arial" w:eastAsia="Arial" w:hAnsi="Arial"/>
                <w:sz w:val="16"/>
                <w:szCs w:val="16"/>
                <w:color w:val="auto"/>
              </w:rPr>
              <w:t>Simphony Trust</w:t>
            </w:r>
          </w:p>
        </w:tc>
        <w:tc>
          <w:tcPr>
            <w:tcW w:w="7100" w:type="dxa"/>
            <w:vAlign w:val="bottom"/>
          </w:tcPr>
          <w:p>
            <w:pPr>
              <w:spacing w:after="0"/>
              <w:rPr>
                <w:sz w:val="20"/>
                <w:szCs w:val="20"/>
                <w:color w:val="auto"/>
              </w:rPr>
            </w:pPr>
            <w:r>
              <w:rPr>
                <w:rFonts w:ascii="Arial" w:cs="Arial" w:eastAsia="Arial" w:hAnsi="Arial"/>
                <w:sz w:val="16"/>
                <w:szCs w:val="16"/>
                <w:color w:val="auto"/>
              </w:rPr>
              <w:t>A trust for the benefit of certain members of the Minski Family.</w:t>
            </w: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0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Tripod Pharma Hld</w:t>
            </w: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A Delaware company that was owned 100% by the Minski Family, until its cancellation in December 2020.</w:t>
            </w:r>
          </w:p>
        </w:tc>
      </w:tr>
      <w:tr>
        <w:trPr>
          <w:trHeight w:val="179"/>
        </w:trPr>
        <w:tc>
          <w:tcPr>
            <w:tcW w:w="4160" w:type="dxa"/>
            <w:vAlign w:val="bottom"/>
            <w:gridSpan w:val="2"/>
          </w:tcPr>
          <w:p>
            <w:pPr>
              <w:spacing w:after="0" w:line="179" w:lineRule="exact"/>
              <w:rPr>
                <w:sz w:val="20"/>
                <w:szCs w:val="20"/>
                <w:color w:val="auto"/>
              </w:rPr>
            </w:pPr>
            <w:r>
              <w:rPr>
                <w:rFonts w:ascii="Arial" w:cs="Arial" w:eastAsia="Arial" w:hAnsi="Arial"/>
                <w:sz w:val="16"/>
                <w:szCs w:val="16"/>
                <w:color w:val="auto"/>
              </w:rPr>
              <w:t>Citrus International Inc.</w:t>
            </w:r>
          </w:p>
        </w:tc>
        <w:tc>
          <w:tcPr>
            <w:tcW w:w="7100" w:type="dxa"/>
            <w:vAlign w:val="bottom"/>
          </w:tcPr>
          <w:p>
            <w:pPr>
              <w:spacing w:after="0" w:line="179" w:lineRule="exact"/>
              <w:rPr>
                <w:sz w:val="20"/>
                <w:szCs w:val="20"/>
                <w:color w:val="auto"/>
              </w:rPr>
            </w:pPr>
            <w:r>
              <w:rPr>
                <w:rFonts w:ascii="Arial" w:cs="Arial" w:eastAsia="Arial" w:hAnsi="Arial"/>
                <w:sz w:val="16"/>
                <w:szCs w:val="16"/>
                <w:color w:val="auto"/>
                <w:w w:val="92"/>
              </w:rPr>
              <w:t>A Panamanian corporation formerly known as known as Batley Enterprises owned 100% by a member of the</w:t>
            </w:r>
          </w:p>
        </w:tc>
      </w:tr>
      <w:tr>
        <w:trPr>
          <w:trHeight w:val="204"/>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Arial" w:cs="Arial" w:eastAsia="Arial" w:hAnsi="Arial"/>
                <w:sz w:val="16"/>
                <w:szCs w:val="16"/>
                <w:color w:val="auto"/>
              </w:rPr>
              <w:t>Minski Family.</w:t>
            </w:r>
          </w:p>
        </w:tc>
      </w:tr>
      <w:tr>
        <w:trPr>
          <w:trHeight w:val="577"/>
        </w:trPr>
        <w:tc>
          <w:tcPr>
            <w:tcW w:w="3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ind w:left="1380"/>
              <w:spacing w:after="0"/>
              <w:rPr>
                <w:sz w:val="20"/>
                <w:szCs w:val="20"/>
                <w:color w:val="auto"/>
              </w:rPr>
            </w:pPr>
            <w:r>
              <w:rPr>
                <w:rFonts w:ascii="Arial" w:cs="Arial" w:eastAsia="Arial" w:hAnsi="Arial"/>
                <w:sz w:val="16"/>
                <w:szCs w:val="16"/>
                <w:color w:val="auto"/>
              </w:rPr>
              <w:t>89</w:t>
            </w:r>
          </w:p>
        </w:tc>
      </w:tr>
    </w:tbl>
    <w:p>
      <w:pPr>
        <w:sectPr>
          <w:pgSz w:w="11900" w:h="16838" w:orient="portrait"/>
          <w:cols w:equalWidth="0" w:num="1">
            <w:col w:w="11260"/>
          </w:cols>
          <w:pgMar w:left="320" w:top="792" w:right="319" w:bottom="1440" w:gutter="0" w:footer="0" w:header="0"/>
        </w:sectPr>
      </w:pPr>
    </w:p>
    <w:bookmarkStart w:id="101" w:name="page102"/>
    <w:bookmarkEnd w:id="101"/>
    <w:p>
      <w:pPr>
        <w:ind w:left="4"/>
        <w:spacing w:after="0"/>
        <w:rPr>
          <w:sz w:val="20"/>
          <w:szCs w:val="20"/>
          <w:color w:val="auto"/>
        </w:rPr>
      </w:pPr>
      <w:r>
        <w:rPr>
          <w:rFonts w:ascii="Arial" w:cs="Arial" w:eastAsia="Arial" w:hAnsi="Arial"/>
          <w:sz w:val="16"/>
          <w:szCs w:val="16"/>
          <w:b w:val="1"/>
          <w:bCs w:val="1"/>
          <w:color w:val="auto"/>
        </w:rPr>
        <w:t>Purchase and Sale of Goods and Services and Commercial Operations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Purchase of Goods and Services</w:t>
      </w:r>
    </w:p>
    <w:p>
      <w:pPr>
        <w:spacing w:after="0" w:line="198" w:lineRule="exact"/>
        <w:rPr>
          <w:sz w:val="20"/>
          <w:szCs w:val="20"/>
          <w:color w:val="auto"/>
        </w:rPr>
      </w:pPr>
    </w:p>
    <w:p>
      <w:pPr>
        <w:jc w:val="both"/>
        <w:ind w:left="4" w:right="20" w:firstLine="574"/>
        <w:spacing w:after="0" w:line="294" w:lineRule="auto"/>
        <w:rPr>
          <w:sz w:val="20"/>
          <w:szCs w:val="20"/>
          <w:color w:val="auto"/>
        </w:rPr>
      </w:pPr>
      <w:r>
        <w:rPr>
          <w:rFonts w:ascii="Arial" w:cs="Arial" w:eastAsia="Arial" w:hAnsi="Arial"/>
          <w:sz w:val="14"/>
          <w:szCs w:val="14"/>
          <w:color w:val="auto"/>
        </w:rPr>
        <w:t>Procaps has purchased goods and services in the ordinary course of business in arm’s length transactions under market terms from several related parties. During the years ended December 31, 2021, 2020 and 2019, Procaps purchased goods and services from the following companies: (i) C.I. Naturmega S.A.; (ii) Gelco S.A.S.;</w:t>
      </w:r>
    </w:p>
    <w:p>
      <w:pPr>
        <w:spacing w:after="0" w:line="1" w:lineRule="exact"/>
        <w:rPr>
          <w:sz w:val="20"/>
          <w:szCs w:val="20"/>
          <w:color w:val="auto"/>
        </w:rPr>
      </w:pPr>
    </w:p>
    <w:p>
      <w:pPr>
        <w:jc w:val="both"/>
        <w:ind w:left="4" w:hanging="4"/>
        <w:spacing w:after="0" w:line="254" w:lineRule="auto"/>
        <w:tabs>
          <w:tab w:leader="none" w:pos="29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Productora de Gelatina S.A.S.; and (iv) Originates Inc. Such goods and services consisted primarily of the sale of refined fish oil, gelatin and other raw materials. During the years ended December 31, 2021, 2020 and 2019, Procaps has purchased a total of $10.2 million, $11.3 million and $11.4 million in goods and services from these companies, respectively.</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Sale of Goods</w:t>
      </w:r>
    </w:p>
    <w:p>
      <w:pPr>
        <w:spacing w:after="0" w:line="198"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Procaps has sold goods in the ordinary course of business in arm’s length transactions under market terms to several related parties. During the years ended December 31, 2021, 2020 and 2019, Procaps sold goods to the following companies: (i) Laboratorios Vivax Pharmaceutical S.A.; (ii) Originates Inc.; (iii) C.I. Naturmega S.A. and (iv) Promedical S.A. Such goods consisted primarily of raw materials. During the years ended December 31, 2021, 2020 and 2019, Procaps has sold a total of approximately $3.8 million, $3.8 million and $3.2 million in goods to these companies, respectively.</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Sale of Services</w:t>
      </w:r>
    </w:p>
    <w:p>
      <w:pPr>
        <w:spacing w:after="0" w:line="198" w:lineRule="exact"/>
        <w:rPr>
          <w:sz w:val="20"/>
          <w:szCs w:val="20"/>
          <w:color w:val="auto"/>
        </w:rPr>
      </w:pPr>
    </w:p>
    <w:p>
      <w:pPr>
        <w:jc w:val="both"/>
        <w:ind w:left="4" w:right="20" w:firstLine="574"/>
        <w:spacing w:after="0" w:line="258" w:lineRule="auto"/>
        <w:rPr>
          <w:sz w:val="20"/>
          <w:szCs w:val="20"/>
          <w:color w:val="auto"/>
        </w:rPr>
      </w:pPr>
      <w:r>
        <w:rPr>
          <w:rFonts w:ascii="Arial" w:cs="Arial" w:eastAsia="Arial" w:hAnsi="Arial"/>
          <w:sz w:val="16"/>
          <w:szCs w:val="16"/>
          <w:color w:val="auto"/>
        </w:rPr>
        <w:t>Procaps has sold services in the ordinary course of business in arm’s length transactions under market terms to several related parties. During the years ended December 31, 2021, 2020 and 2019, Procaps sold services to the following companies: (i) Gelco S.A.S., (ii) Productora de Gelatina S.A.S. and (iii) Promedical S.A. Such services consisted primarily of technical advisory services. During the years ended December 31, 2021, 2020 and 2019, Procaps has sold a total of approximately $116 thousand, $87 thousand and $222 thousand in services to these companies, respectively.</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Commercial Operations</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5"/>
          <w:szCs w:val="15"/>
          <w:color w:val="auto"/>
        </w:rPr>
        <w:t>Procaps has conducted commercial operations in the ordinary course of business in arm’s length transactions under market terms with several related parties.</w:t>
      </w:r>
    </w:p>
    <w:p>
      <w:pPr>
        <w:spacing w:after="0" w:line="210" w:lineRule="exact"/>
        <w:rPr>
          <w:sz w:val="20"/>
          <w:szCs w:val="20"/>
          <w:color w:val="auto"/>
        </w:rPr>
      </w:pPr>
    </w:p>
    <w:p>
      <w:pPr>
        <w:jc w:val="both"/>
        <w:ind w:left="4" w:firstLine="574"/>
        <w:spacing w:after="0" w:line="294" w:lineRule="auto"/>
        <w:rPr>
          <w:sz w:val="20"/>
          <w:szCs w:val="20"/>
          <w:color w:val="auto"/>
        </w:rPr>
      </w:pPr>
      <w:r>
        <w:rPr>
          <w:rFonts w:ascii="Arial" w:cs="Arial" w:eastAsia="Arial" w:hAnsi="Arial"/>
          <w:sz w:val="14"/>
          <w:szCs w:val="14"/>
          <w:color w:val="auto"/>
        </w:rPr>
        <w:t>During the years ended December 31, 2021, 2020 and 2019, Procaps conducted commercial operations with the following companies, generating accounts receivables payable by: (i) C.I. Naturmega S.A.; (ii) Simviel S.A.S.; (iii) Industrias Intercaps de Venezuela; (iv) Originates Inc.; (v) Gelco S.A.S.; (vi) Productora de Gelatina S.A.S.;</w:t>
      </w:r>
    </w:p>
    <w:p>
      <w:pPr>
        <w:spacing w:after="0" w:line="1" w:lineRule="exact"/>
        <w:rPr>
          <w:sz w:val="20"/>
          <w:szCs w:val="20"/>
          <w:color w:val="auto"/>
        </w:rPr>
      </w:pPr>
    </w:p>
    <w:p>
      <w:pPr>
        <w:jc w:val="both"/>
        <w:ind w:left="4" w:right="20" w:hanging="4"/>
        <w:spacing w:after="0" w:line="254" w:lineRule="auto"/>
        <w:tabs>
          <w:tab w:leader="none" w:pos="323" w:val="left"/>
        </w:tabs>
        <w:numPr>
          <w:ilvl w:val="0"/>
          <w:numId w:val="50"/>
        </w:numPr>
        <w:rPr>
          <w:rFonts w:ascii="Arial" w:cs="Arial" w:eastAsia="Arial" w:hAnsi="Arial"/>
          <w:sz w:val="16"/>
          <w:szCs w:val="16"/>
          <w:color w:val="auto"/>
        </w:rPr>
      </w:pPr>
      <w:r>
        <w:rPr>
          <w:rFonts w:ascii="Arial" w:cs="Arial" w:eastAsia="Arial" w:hAnsi="Arial"/>
          <w:sz w:val="16"/>
          <w:szCs w:val="16"/>
          <w:color w:val="auto"/>
        </w:rPr>
        <w:t>Pharma Perspectives S.A.; (viii) Carlton Mega Inversiones S.A.; and (ix) Promedical S.A. Such commercial operations consisted primarily of back-office services, leases, technical advisory and sale of finished products and raw materials. During the years ended December 31, 2021, 2020 and 2019, Procaps generated a total of approximately $12.4 million, $13.4 million and $13.5 million in accounts receivables owed by these companies, respectively.</w:t>
      </w:r>
    </w:p>
    <w:p>
      <w:pPr>
        <w:spacing w:after="0" w:line="168" w:lineRule="exact"/>
        <w:rPr>
          <w:sz w:val="20"/>
          <w:szCs w:val="20"/>
          <w:color w:val="auto"/>
        </w:rPr>
      </w:pPr>
    </w:p>
    <w:p>
      <w:pPr>
        <w:ind w:left="564"/>
        <w:spacing w:after="0"/>
        <w:rPr>
          <w:sz w:val="20"/>
          <w:szCs w:val="20"/>
          <w:color w:val="auto"/>
        </w:rPr>
      </w:pPr>
      <w:r>
        <w:rPr>
          <w:rFonts w:ascii="Arial" w:cs="Arial" w:eastAsia="Arial" w:hAnsi="Arial"/>
          <w:sz w:val="14"/>
          <w:szCs w:val="14"/>
          <w:color w:val="auto"/>
        </w:rPr>
        <w:t>During the years ended December 31, 2021, 2020 and 2019, Procaps conducted commercial operations with the following companies, generating accounts payable to:</w:t>
      </w:r>
    </w:p>
    <w:p>
      <w:pPr>
        <w:spacing w:after="0" w:line="43" w:lineRule="exact"/>
        <w:rPr>
          <w:sz w:val="20"/>
          <w:szCs w:val="20"/>
          <w:color w:val="auto"/>
        </w:rPr>
      </w:pPr>
    </w:p>
    <w:p>
      <w:pPr>
        <w:jc w:val="both"/>
        <w:ind w:left="4" w:hanging="4"/>
        <w:spacing w:after="0" w:line="279" w:lineRule="auto"/>
        <w:tabs>
          <w:tab w:leader="none" w:pos="199" w:val="left"/>
        </w:tabs>
        <w:numPr>
          <w:ilvl w:val="0"/>
          <w:numId w:val="51"/>
        </w:numPr>
        <w:rPr>
          <w:rFonts w:ascii="Arial" w:cs="Arial" w:eastAsia="Arial" w:hAnsi="Arial"/>
          <w:sz w:val="15"/>
          <w:szCs w:val="15"/>
          <w:color w:val="auto"/>
        </w:rPr>
      </w:pPr>
      <w:r>
        <w:rPr>
          <w:rFonts w:ascii="Arial" w:cs="Arial" w:eastAsia="Arial" w:hAnsi="Arial"/>
          <w:sz w:val="15"/>
          <w:szCs w:val="15"/>
          <w:color w:val="auto"/>
        </w:rPr>
        <w:t>C.I. Naturmega S.A.; (ii) Simviel S.A.S.; (iii) Fundación Procaps; (iv) Originates Inc.; (v) Gelco S.A.S.; (vi) Productora de Gelatina S.A.S.; and (vii) Promedical S.A. Such commercial operations consisted primarily of purchase of raw materials, technical advisory and leases. During the years ended December 31, 2021, 2020 and 2019, Procaps generated a total of approximately $1.3 million, $4.8 million and $4.1 million in accounts payable to these companies, respectively.</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Related Party Donations, Advances, Long-Term Receivables, Loans and Guarantees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Donations</w:t>
      </w:r>
    </w:p>
    <w:p>
      <w:pPr>
        <w:spacing w:after="0" w:line="198" w:lineRule="exact"/>
        <w:rPr>
          <w:sz w:val="20"/>
          <w:szCs w:val="20"/>
          <w:color w:val="auto"/>
        </w:rPr>
      </w:pPr>
    </w:p>
    <w:p>
      <w:pPr>
        <w:ind w:left="4" w:right="20" w:firstLine="574"/>
        <w:spacing w:after="0" w:line="275" w:lineRule="auto"/>
        <w:rPr>
          <w:sz w:val="20"/>
          <w:szCs w:val="20"/>
          <w:color w:val="auto"/>
        </w:rPr>
      </w:pPr>
      <w:r>
        <w:rPr>
          <w:rFonts w:ascii="Arial" w:cs="Arial" w:eastAsia="Arial" w:hAnsi="Arial"/>
          <w:sz w:val="16"/>
          <w:szCs w:val="16"/>
          <w:color w:val="auto"/>
        </w:rPr>
        <w:t>Procaps S.A. has made donations to Fundación Procaps in the total amount of approximately $0.4 million, $0.3 million and $0.3 million for the years ended December 31, 2021, 2020 and 2019, respectively.</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Advances</w:t>
      </w:r>
    </w:p>
    <w:p>
      <w:pPr>
        <w:spacing w:after="0" w:line="198" w:lineRule="exact"/>
        <w:rPr>
          <w:sz w:val="20"/>
          <w:szCs w:val="20"/>
          <w:color w:val="auto"/>
        </w:rPr>
      </w:pPr>
    </w:p>
    <w:p>
      <w:pPr>
        <w:ind w:left="4" w:firstLine="574"/>
        <w:spacing w:after="0" w:line="275" w:lineRule="auto"/>
        <w:rPr>
          <w:sz w:val="20"/>
          <w:szCs w:val="20"/>
          <w:color w:val="auto"/>
        </w:rPr>
      </w:pPr>
      <w:r>
        <w:rPr>
          <w:rFonts w:ascii="Arial" w:cs="Arial" w:eastAsia="Arial" w:hAnsi="Arial"/>
          <w:sz w:val="16"/>
          <w:szCs w:val="16"/>
          <w:color w:val="auto"/>
        </w:rPr>
        <w:t>Procaps periodically advances payments for services to be performed by certain related parties, including Simviel S.A.S. As of December 31, 2021, the total amount outstanding advanced by Procaps to Simviel S.A.S. for services to be performed was approximately $0.1 million.</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i w:val="1"/>
          <w:iCs w:val="1"/>
          <w:color w:val="auto"/>
        </w:rPr>
        <w:t>Long-Term Receivables</w:t>
      </w:r>
    </w:p>
    <w:p>
      <w:pPr>
        <w:spacing w:after="0" w:line="19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Procaps sold pharmaceutical products to Industrias Intercaps de Venezuela and Laboratorios Vivax Pharmaceutical S.A. from 2010 through 2015 which, as of the date of this annual report, have not been paid. Long-term receivables in connection with such past sales outstanding as of December 31, 2021, owed by Industrias Intercaps de Venezuela and Laboratorios Vivax Pharmaceutical S.A. total approximately $18.1 million and $5.3 million, respectively. All such amounts have been provisioned for by Procaps. For more information, see Note 29 to our Annual Audited Consolidated Financial Statements included elsewhere in this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January 13, 2013, Sognatore made a loan to Procaps on commercially reasonable, arm’s length terms, in the total amount of $13.7 million. As of December 31, 2021, the outstanding principal and interest balance of this loan owed by Procaps to Sognatore was approximately $4.5 million.</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April 17, 2018, Sognatore made an additional loan to Procaps on commercially reasonable, arm’s length terms, in the total amount of $1.4 million. All amounts owed under this loan have been paid and as of December 31, 2021, the outstanding balance on such loan is zero.</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April 19, 2018, Deseja made a loan to Procaps on commercially reasonable, arm’s length terms, in the total amount of $1.3 million. All amounts owed under this loan have been paid and as of December 31, 2021, the outstanding balance on such loan is zero.</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April 19, 2018, Simphony made a loan to Procaps on commercially reasonable, arm’s length terms, in the total amount of $1.3 million. All amounts owed under this loan have been paid and as of December 31, 2021, the outstanding balance on such loan is zero.</w:t>
      </w:r>
    </w:p>
    <w:p>
      <w:pPr>
        <w:spacing w:after="0" w:line="152"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On May 30, 2018, Tripod Pharma Hld made a loan to Procaps on commercially reasonable, arm’s length terms, in the total amount of $9.5 million. On September 26, 2018, Tripod Pharma Hld made an additional loan to Procaps on commercially reasonable, arm’s length terms, in the total amount of $4.0 million. On January 1, 2020, Tripod Pharma Hld, acting as a nominee for Sognatore, Deseja and Simphony under these loans, assigned one-third (1/3) of the payment obligations under such loans to each of Sognatore, Deseja and Simphony. As of December 31, 2021, the outstanding principal and interest balance under these loans are approximately $0.3 million for Sognatore, $1.1 million for Deseja and $1.1 million for Simphony, for a total outstanding balance of approximately $2.5 million.</w:t>
      </w:r>
    </w:p>
    <w:p>
      <w:pPr>
        <w:spacing w:after="0" w:line="15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On May 31, 2018, Citrus International Inc. (formerly Batley Enterprises) made a loan to Procaps on commercially reasonable, arm’s length terms, in the total amount of $1.0 million. On June 27, 2018, and September 25, 2018, Citrus International Inc. made additional loans to Procaps on commercially reasonable, arm’s length terms, in the total amount of $3.5 million and $1.0 million, respectively. All amounts owed under these loans have been paid and as of December 31, 2021, the outstanding balance on such loans is zero.</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Procaps S.A., a subsidiary of Procaps, is a guarantor under a loan by Banco Colpatria Multibanca Colpatria S.A., as lender, to C.I. Naturmega S.A., as borrower, the outstanding balance of which as of December 31, 2021 was COP $7,912 million (approximately U.S. $2.0 million).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Relationships</w:t>
      </w:r>
    </w:p>
    <w:p>
      <w:pPr>
        <w:spacing w:after="0" w:line="20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Sofgen Pharmaceuticals LLC, one of Procaps’ indirect subsidiaries, and Originates Inc. share payroll services from ADP and, prior to the closing of the Business Combination, had a linked employee 401(k) plan sponsored by Originates Inc. in which Sofgen Pharmaceuticals LLC participated as a participating employer, due to both entities being under common ownership. Prior to the closing of the Business Combination, Sofgen Pharmaceuticals LLC put in place its own 401(k) plan.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C. INTERESTS OF EXPERTS AND COUNSEL</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CONSOLIDATED STATEMENTS AND OTHER FINANCIAL INFORMATION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Company’s Annual Audited Consolidated Financial Statements are included in Item 18 under the heading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0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We are involved in investigations, claims, lawsuits and other proceedings arising in the ordinary course of business. These matters involve personnel and employment issues, regulatory matters, contract, administrative and tax proceedings, among others, arising in the ordinary course of business, involving total contingencies of $0.5 million as of December 31, 2021. As of December 31, 2021, our total contingencies relating to legal proceedings in which our external legal counsel has identified the risk of loss as being probable and/or for which a provision had been recorded in our Consolidated Financial Statement were: (i) $0.35 million related to tax claims, (ii) $0.06 million related to labor claims, and (iv) $0.06 million related to administrative claims. For more information our litigation contingencies, see Note 22 to our Annual Audited Consolidated Financial Statements, included elsewhere in this annual report.</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Claims may be filed against us in the future including by, but not limited to, third parties, employees (of our own or made available by service providers) and federal, state or local bodies due to transactions and procedures carried out by us or companies we acquire in the future.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Other than as described below, we do not believe that any of our current legal or administrative proceedings could individually cause a material adverse effect on our business, financial condition or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Colombian Social Security and Taxes</w:t>
      </w:r>
    </w:p>
    <w:p>
      <w:pPr>
        <w:spacing w:after="0" w:line="198"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Historically, Procaps has paid certain benefits to its employees that, according to prior interpretation of applicable Colombian labor and tax laws, were not considered as part of an employee’s salary for purposes of calculating taxable employee compensation. In 2012, the interpretation of what constitutes part of an employee’s compensation began to change in Colombia, which resulted in Procaps having to eliminate certain employee benefits such as transportation assistance and certain performance bonuses, and amend its overall policies relating to performance bonuses, in order to comply with such change in interpretation. Although Procaps has made considerable efforts to comply with such laws, it is possible that monetary penalties and additional labor taxes will be imposed on Procaps by the Colombia’s Ministry of Finance’s Pension and Parafiscal Management Unit (</w:t>
      </w:r>
      <w:r>
        <w:rPr>
          <w:rFonts w:ascii="Arial" w:cs="Arial" w:eastAsia="Arial" w:hAnsi="Arial"/>
          <w:sz w:val="14"/>
          <w:szCs w:val="14"/>
          <w:i w:val="1"/>
          <w:iCs w:val="1"/>
          <w:color w:val="auto"/>
        </w:rPr>
        <w:t>Unidad de Gestion Pensional y Parafiscal,</w:t>
      </w:r>
      <w:r>
        <w:rPr>
          <w:rFonts w:ascii="Arial" w:cs="Arial" w:eastAsia="Arial" w:hAnsi="Arial"/>
          <w:sz w:val="14"/>
          <w:szCs w:val="14"/>
          <w:color w:val="auto"/>
        </w:rPr>
        <w:t xml:space="preserve"> or “UGPP”) for the periods prior to the implementation of such changes to employee benefits instituted by Procaps. Although Procaps has been subject to administrative proceedings by the UGPP in the past for alleged failures to pay social security benefits, which have resulted in non-material penalties and fines, there can be no assurances that future proceedings will not be initiated against Procaps which could result in material fines and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Proceedings</w:t>
      </w:r>
    </w:p>
    <w:p>
      <w:pPr>
        <w:spacing w:after="0" w:line="198"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Certain of our operations, primarily those conducted in Brazil through our subsidiary, Colbras Industria e Comercio Ltda., has been subject to administrative environmental legal proceedings, including a proceeding initiated by CETESB alleging a breach of environmental law due to unauthorized disposal and storage of hazardous substances at our São Paulo facilities in 2013. On May 18, 2020, a final decision in favor of Colbras Industria e Comercio Ltda. was granted, resulting in no liability to the company. Under Brazilian law, certain environmental administrative proceedings trigger a corresponding criminal proceeding by the Brazilian Federal Police (</w:t>
      </w:r>
      <w:r>
        <w:rPr>
          <w:rFonts w:ascii="Arial" w:cs="Arial" w:eastAsia="Arial" w:hAnsi="Arial"/>
          <w:sz w:val="14"/>
          <w:szCs w:val="14"/>
          <w:i w:val="1"/>
          <w:iCs w:val="1"/>
          <w:color w:val="auto"/>
        </w:rPr>
        <w:t>Polícia Federal</w:t>
      </w:r>
      <w:r>
        <w:rPr>
          <w:rFonts w:ascii="Arial" w:cs="Arial" w:eastAsia="Arial" w:hAnsi="Arial"/>
          <w:sz w:val="14"/>
          <w:szCs w:val="14"/>
          <w:color w:val="auto"/>
        </w:rPr>
        <w:t xml:space="preserve"> </w:t>
      </w:r>
      <w:r>
        <w:rPr>
          <w:rFonts w:ascii="Arial" w:cs="Arial" w:eastAsia="Arial" w:hAnsi="Arial"/>
          <w:sz w:val="14"/>
          <w:szCs w:val="14"/>
          <w:i w:val="1"/>
          <w:iCs w:val="1"/>
          <w:color w:val="auto"/>
        </w:rPr>
        <w:t>do Brasil</w:t>
      </w:r>
      <w:r>
        <w:rPr>
          <w:rFonts w:ascii="Arial" w:cs="Arial" w:eastAsia="Arial" w:hAnsi="Arial"/>
          <w:sz w:val="14"/>
          <w:szCs w:val="14"/>
          <w:color w:val="auto"/>
        </w:rPr>
        <w:t>). The criminal proceeding linked to the above-mentioned administrative proceeding was terminated as a result of the final administrative decision.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License</w:t>
      </w:r>
    </w:p>
    <w:p>
      <w:pPr>
        <w:spacing w:after="0" w:line="198"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color w:val="auto"/>
        </w:rPr>
        <w:t>Colbras Industria e Comercio Ltda.’s license of operation (</w:t>
      </w:r>
      <w:r>
        <w:rPr>
          <w:rFonts w:ascii="Arial" w:cs="Arial" w:eastAsia="Arial" w:hAnsi="Arial"/>
          <w:sz w:val="14"/>
          <w:szCs w:val="14"/>
          <w:i w:val="1"/>
          <w:iCs w:val="1"/>
          <w:color w:val="auto"/>
        </w:rPr>
        <w:t>licença de operação</w:t>
      </w:r>
      <w:r>
        <w:rPr>
          <w:rFonts w:ascii="Arial" w:cs="Arial" w:eastAsia="Arial" w:hAnsi="Arial"/>
          <w:sz w:val="14"/>
          <w:szCs w:val="14"/>
          <w:color w:val="auto"/>
        </w:rPr>
        <w:t>) in connection with the warehouse and quality control laboratory located at our Softgel manufacturing facility in the city of Cotia, State of São Paulo, Brazil was denied by CETESB on May 9, 2013, due a legal proceeding initiated against Etesco Construcoes e Comercio LTDA (“Etesco”), the developer of the industrial park where such facilities are located, alleging non-compliance by Etesco with certain environmental requirements related to the distance of the facilities from the Coitia River and the percentage of “green area” (</w:t>
      </w:r>
      <w:r>
        <w:rPr>
          <w:rFonts w:ascii="Arial" w:cs="Arial" w:eastAsia="Arial" w:hAnsi="Arial"/>
          <w:sz w:val="14"/>
          <w:szCs w:val="14"/>
          <w:i w:val="1"/>
          <w:iCs w:val="1"/>
          <w:color w:val="auto"/>
        </w:rPr>
        <w:t>área verde</w:t>
      </w:r>
      <w:r>
        <w:rPr>
          <w:rFonts w:ascii="Arial" w:cs="Arial" w:eastAsia="Arial" w:hAnsi="Arial"/>
          <w:sz w:val="14"/>
          <w:szCs w:val="14"/>
          <w:color w:val="auto"/>
        </w:rPr>
        <w:t>) surrounding the park. CETESB has allowed our warehouse and quality control laboratory to operate until the proceeding against Etesco is resolved. In the event such proceeding is resolved negatively against Etesco, CETESB may not grant us a license of operations which could force us to suspend operations of the warehouse and quality control laboratory located at our Softgel manufacturing facility.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auto"/>
        </w:rPr>
        <w:t>Dividend Distribution Policy</w:t>
      </w:r>
    </w:p>
    <w:p>
      <w:pPr>
        <w:spacing w:after="0" w:line="20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From the annual net profits of the Company, at least 5% shall each year be allocated to the reserve required by applicable laws (the “Legal Reserve”). That allocation to the Legal Reserve will cease to be mandatory as soon and as long as the aggregate amount of the Legal Reserve amounts to 10% of the amount of the share capital of the Company. The general meeting of shareholders shall resolve how the remainder of the annual net profits, after allocation to the Legal Reserve, will be disposed of by allocating the whole or part of the remainder to a reserve or to a provision, by carrying it forward to the next following financial year or by distributing it, together with carried forward profits, distributable reserves or share premium to the shareholders in proportion to the number of the Ordinary Shares they hold.</w:t>
      </w:r>
    </w:p>
    <w:p>
      <w:pPr>
        <w:spacing w:after="0" w:line="155"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The Board of Directors may resolve that the Company pays out an interim dividend to the shareholders, subject to the conditions of article 461-3 of the 1915 Law and the Company’s amended and restated articles of association. The Board of Directors shall set the amount and the date of payment of the interim dividend.</w:t>
      </w:r>
    </w:p>
    <w:p>
      <w:pPr>
        <w:spacing w:after="0" w:line="129"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Any share premium, assimilated premium or other distributable reserve may be freely distributed to the shareholders subject to the provisions of the 1915 Law and the Company’s amended and restated articles of association. The dividend entitlement lapses upon the expiration of a five-year prescription period from the date of the dividend distribution. The unclaimed dividends return to our accounts.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SIGNIFICANT CHANGES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There have been no significant changes since the approval date of our Annual Audited Consolidated Financial Statements included elsewhere in this annual report.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THE OFFER AND LISTING</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OFFER AND LISTING DETAILS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ordinary shares trade solely on the Nasdaq under the symbol “PROC.” Our ordinary shares do not trade in any other market.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DISTRIBUTION PLAN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MARKETS</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Ordinary Shares and Warrants began trading on the Nasdaq Global Market under the ticker symbol “PROC” and “PROCW”, respectively, in connection with the Business Combination, on September 30, 2021.</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SELLING SHAREHOLDERS</w:t>
      </w:r>
    </w:p>
    <w:p>
      <w:pPr>
        <w:spacing w:after="0" w:line="202" w:lineRule="exact"/>
        <w:rPr>
          <w:sz w:val="20"/>
          <w:szCs w:val="20"/>
          <w:color w:val="auto"/>
        </w:rPr>
      </w:pPr>
    </w:p>
    <w:p>
      <w:pPr>
        <w:jc w:val="center"/>
        <w:ind w:right="914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jc w:val="center"/>
        <w:ind w:right="9120"/>
        <w:spacing w:after="0"/>
        <w:rPr>
          <w:sz w:val="20"/>
          <w:szCs w:val="20"/>
          <w:color w:val="auto"/>
        </w:rPr>
      </w:pPr>
      <w:r>
        <w:rPr>
          <w:rFonts w:ascii="Arial" w:cs="Arial" w:eastAsia="Arial" w:hAnsi="Arial"/>
          <w:sz w:val="15"/>
          <w:szCs w:val="15"/>
          <w:b w:val="1"/>
          <w:bCs w:val="1"/>
          <w:color w:val="auto"/>
        </w:rPr>
        <w:t>E. EXPENSES OF THE ISSUE</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SHARE CAPITAL</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B. MEMORANDUM AND ARTICLES OF ASSOCIATION</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i w:val="1"/>
          <w:iCs w:val="1"/>
          <w:color w:val="auto"/>
        </w:rPr>
        <w:t>The following is a summary of some of the terms of our ordinary shares, based on the Company’s amended and restated articles of association. The following summary is not complete and is subject to, and is qualified in its entirety by reference to, the provisions of the Company’s amended and restated articles of association, and applicable Luxembourg law, including Luxembourg corporate law.</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Ordinary Shares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Capital</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is authorized to issue 687,175,817 Ordinary Shares and zero Redeemable B Shares under its authorized share capital.</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As of April 28, 2022, there were 112,824,183 Ordinary Shares outstanding and issued, 4,000,000 Redeemable A Shares issued and held in treasury by the Company and 4,500,000 Redeemable B Shares issued and held in treasury by the Company. There were also 23,375,000 Warrants outstanding, each entitling the holder to purchase one Ordinary Share at an exercise price of $11.50 per share.</w:t>
      </w:r>
    </w:p>
    <w:p>
      <w:pPr>
        <w:spacing w:after="0" w:line="16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On September 29, 2021, the Company redeemed 4,000,000 Redeemable A Shares held by Crynssen for an aggregate price of $40,000 so that, following the Merger and the Exchange, Crynssen would become a direct wholly owned subsidiary of the Company. Immediately prior to the redemption of the Redeemable A Shares, the Redeemable A Shares represented 16.53% of the total issued capital stock of the Company.</w:t>
      </w:r>
    </w:p>
    <w:p>
      <w:pPr>
        <w:spacing w:after="0" w:line="16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On September 29, 2021, immediately following the Exchange, the Company redeemed 4,500,000 Redeemable B Shares held by IFC for an aggregate price of $45,000,000, as negotiated with IFC in connection with the Business Combination, pursuant to the terms of the IFC Redemption Agreement. Immediately prior to the redemption of the Redeemable B Shares, the Redeemable B Shares represented 3.71% of the total issued capital stock of the Company.</w:t>
      </w:r>
    </w:p>
    <w:p>
      <w:pPr>
        <w:spacing w:after="0" w:line="14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Redeemable A Shares and the Redeemable B Shares will remain issued shares under Luxembourg law until cancelled, but shall have no voting or dividend rights and shall not be counted for any quorum purposed under Luxembourg law.</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Issuances</w:t>
      </w:r>
    </w:p>
    <w:p>
      <w:pPr>
        <w:spacing w:after="0" w:line="198"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Pursuant to Luxembourg law, the issuance of Ordinary Shares and Redeemable B Shares requires in principle approval by the extraordinary general meeting of shareholders subject to necessary quorum and majority requirements. The extraordinary general meeting of shareholders of Company held prior to the Closing of the Business Combination approved an authorized capital and authorized the Board of Directors to (i) realize for any reason whatsoever, including any issue in one or several successive tranches of (a) any subscription and/or conversion rights, including warrants (which may be issued separately or attached to Ordinary Shares, bonds, options, notes or similar instruments), convertible bonds, notes or similar instruments as well as (b) new Ordinary Shares and Redeemable B Shares, with or without share premium, against payment in cash or in kind, by conversion of claims on the Company, by way of conversion of available reserves or in any other manner; (ii) determine the place and date of the issue or the successive issues, the issue price, the terms and conditions of the subscription of and paying up on the new Ordinary Shares or Redeemable B Shares; and (iii) remove or limit the preferential subscription right of the shareholders in case of issue against payment in cash of Ordinary Shares, Redeemable B Shares, warrants (which may be separate or attached to Ordinary Shares, bonds, notes or similar instruments), convertible bonds, notes or similar instruments, up to the maximum amount of such authorized capital for a maximum period of five years from the date of incorporation or any subsequent resolutions to create, renew or increase the authorized capital. The extraordinary general meeting of shareholders of the Company may renew or increase such authorized capital and such authorization to the Board of Directors to issue Ordinary Shares and Redeemable B Shares, each time for a period not exceeding five (5) years.</w:t>
      </w:r>
    </w:p>
    <w:p>
      <w:pPr>
        <w:spacing w:after="0" w:line="157" w:lineRule="exact"/>
        <w:rPr>
          <w:sz w:val="20"/>
          <w:szCs w:val="20"/>
          <w:color w:val="auto"/>
        </w:rPr>
      </w:pPr>
    </w:p>
    <w:p>
      <w:pPr>
        <w:jc w:val="both"/>
        <w:ind w:right="20" w:firstLine="574"/>
        <w:spacing w:after="0" w:line="270" w:lineRule="auto"/>
        <w:rPr>
          <w:sz w:val="20"/>
          <w:szCs w:val="20"/>
          <w:color w:val="auto"/>
        </w:rPr>
      </w:pPr>
      <w:r>
        <w:rPr>
          <w:rFonts w:ascii="Arial" w:cs="Arial" w:eastAsia="Arial" w:hAnsi="Arial"/>
          <w:sz w:val="15"/>
          <w:szCs w:val="15"/>
          <w:color w:val="auto"/>
        </w:rPr>
        <w:t>In addition, since the adoption of the amended and restated articles of association of the Company in connection with the Closing of the Business Combination, the Company’s shareholders authorized the Board of Directors to allocate existing shares of the Company without consideration or to issue new shares (“Bonus Shares”) paid-up out of distributable reserves (i) to employees of the Company or to certain classes of such employees; (ii) to employees of companies or economic interest groupings in which the Company holds directly or indirectly at least ten percent (10%) of the share capital or of the voting rights; (iii) to employees of companies or economic interest groupings which hold directly or indirectly at least ten percent (10%) of the share capital or of the voting rights of the Company; (iv) to employees of companies or economic interest groupings in which at least fifty percent (50%) of the share capital or of the voting rights are held, directly or indirectly, by a company holding itself, directly or indirectly, at least fifty percent (50%) of the share capital of the Company; or (v) to members of the corporate bodies of the Company or any of the other companies or economic interest groupings referred to under items (ii) to (iv) above, for a maximum period of five years from the date of incorporation or any subsequent resolutions to create, renew or increase the authorized capital (such period restriction is only applicable in case of an allotment of newly issued shares). The preferential subscription right of existing shareholders is, through their authorization to the Board of Directors, automatically waived in case of issuance of Bonus Shares.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06" w:name="page107"/>
    <w:bookmarkEnd w:id="106"/>
    <w:p>
      <w:pPr>
        <w:jc w:val="both"/>
        <w:ind w:right="20" w:firstLine="574"/>
        <w:spacing w:after="0" w:line="309" w:lineRule="auto"/>
        <w:rPr>
          <w:sz w:val="20"/>
          <w:szCs w:val="20"/>
          <w:color w:val="auto"/>
        </w:rPr>
      </w:pPr>
      <w:r>
        <w:rPr>
          <w:rFonts w:ascii="Arial" w:cs="Arial" w:eastAsia="Arial" w:hAnsi="Arial"/>
          <w:sz w:val="15"/>
          <w:szCs w:val="15"/>
          <w:color w:val="auto"/>
        </w:rPr>
        <w:t>Currently, no further Redeemable B Shares may be issued by the Board of Directors under the authorized capital as the maximum amount of Redeemable B Shares authorized by the extraordinary general meeting of shareholders of the Company held prior to the Closing of the Business Combination has been issued.</w:t>
      </w:r>
    </w:p>
    <w:p>
      <w:pPr>
        <w:spacing w:after="0" w:line="129"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Company recognizes only one (1) holder per share. In case an share is owned by several persons, they shall appoint a single representative who shall represent them in respect of the Company. The Company has the right to suspend the exercise of all rights attached to that share, except for relevant information rights, until such representative has been appointed.</w:t>
      </w:r>
    </w:p>
    <w:p>
      <w:pPr>
        <w:spacing w:after="0" w:line="16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Upon the consummation of the Business Combination, a delegate of the Board of Directors, who was granted powers pursuant to resolutions of the Board of Directors, resolved on the issuance of Ordinary Shares out of the authorized capital to Union shareholders. When delegating such powers to the delegate, the Board of Directors resolved on the applicable procedures and timelines to which such issuance will be subjected. In the event a proposal of the Board of Directors to issue new Ordinary Shares exceeds the limits of the Company’s authorized share capital, the Board of Directors must then convene the shareholders to an extraordinary general meeting to be held in front of a Luxembourg notary for the purpose of increasing the issued share capital. Such meeting will be subject to the quorum and majority requirements required for amending the amended and restated articles of association, it being understood that the amended and restated articles of association may be amended by a majority of at least two thirds (2/3) of the votes validly cast at such general meeting at which a quorum of more than half (1/2) of the Company’s share capital is present or represented. If no quorum is reached in a meeting, a second meeting may be convened in accordance with the provisions of Luxembourg law and the amended and restated articles of association of the Company, which may deliberate regardless of the quorum and at which resolutions are adopted at a majority of at least two thirds (2/3) of the votes validly cast. Abstentions and nil votes shall not be taken into account. If the capital call proposed by the Board of Directors consists of an increase in the shareholders’ commitments, the Board of Directors must convene the shareholders to an extraordinary general meeting to be held in front of a Luxembourg notary for such purpose. Such meeting will be subject to the unanimous consent of the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Preferential Subscription Rights</w:t>
      </w:r>
    </w:p>
    <w:p>
      <w:pPr>
        <w:spacing w:after="0" w:line="198"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Under Luxembourg law and in accordance with the amended and restated articles of association of the Company, existing shareholders benefit from a preferential subscription right on the issuance of new shares by the Company for cash consideration. However, since the adoption of the amended and restated articles of association of the Company pursuant to the terms of the Business Combination, the Company’s shareholders authorized the Board of Directors, within the limits of the Company’s authorized share capital and within a period of five years, to remove or limit any preemptive subscription rights of shareholders in case of issue against payment in cash of Ordinary Shares, Redeemable B Shares, warrants (which may be separate or attached to Ordinary Shares, bonds, notes or similar instruments), convertible bonds, notes or similar instruments and the Company can limit or suppress, subject to the quorum and majority for the amendment of the articles of association. Such shares may be issued above, at, or below market value, and, following a certain procedure, even below the accounting par value, if applicable per share. New Company shares also may be issued by way of incorporation of available reserves, including share premium.</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Company cannot subscribe for its own Ordinary Shares. The Company may, however, repurchase issued Ordinary Shares or have another person acting in his, her or its own name, but on behalf of the Company, repurchase issued Ordinary Shares, subject to the following conditions:</w:t>
      </w:r>
    </w:p>
    <w:p>
      <w:pPr>
        <w:spacing w:after="0" w:line="152" w:lineRule="exact"/>
        <w:rPr>
          <w:sz w:val="20"/>
          <w:szCs w:val="20"/>
          <w:color w:val="auto"/>
        </w:rPr>
      </w:pPr>
    </w:p>
    <w:p>
      <w:pPr>
        <w:ind w:left="860" w:hanging="291"/>
        <w:spacing w:after="0"/>
        <w:tabs>
          <w:tab w:leader="none" w:pos="8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prior authorization by a simple majority vote at an ordinary general meeting of shareholders, which authorization sets forth:</w:t>
      </w:r>
    </w:p>
    <w:p>
      <w:pPr>
        <w:spacing w:after="0" w:line="198" w:lineRule="exact"/>
        <w:rPr>
          <w:rFonts w:ascii="Arial" w:cs="Arial" w:eastAsia="Arial" w:hAnsi="Arial"/>
          <w:sz w:val="16"/>
          <w:szCs w:val="16"/>
          <w:color w:val="auto"/>
        </w:rPr>
      </w:pPr>
    </w:p>
    <w:p>
      <w:pPr>
        <w:ind w:left="1140" w:hanging="284"/>
        <w:spacing w:after="0"/>
        <w:tabs>
          <w:tab w:leader="none" w:pos="11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terms and conditions of the proposed repurchase and in particular the maximum number of Ordinary Shares to be repurchased;</w:t>
      </w:r>
    </w:p>
    <w:p>
      <w:pPr>
        <w:spacing w:after="0" w:line="198" w:lineRule="exact"/>
        <w:rPr>
          <w:rFonts w:ascii="Arial" w:cs="Arial" w:eastAsia="Arial" w:hAnsi="Arial"/>
          <w:sz w:val="16"/>
          <w:szCs w:val="16"/>
          <w:color w:val="auto"/>
        </w:rPr>
      </w:pPr>
    </w:p>
    <w:p>
      <w:pPr>
        <w:ind w:left="1140" w:hanging="284"/>
        <w:spacing w:after="0"/>
        <w:tabs>
          <w:tab w:leader="none" w:pos="11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duration of the period for which the authorization is given, which may not exceed five years; and</w:t>
      </w:r>
    </w:p>
    <w:p>
      <w:pPr>
        <w:spacing w:after="0" w:line="198" w:lineRule="exact"/>
        <w:rPr>
          <w:rFonts w:ascii="Arial" w:cs="Arial" w:eastAsia="Arial" w:hAnsi="Arial"/>
          <w:sz w:val="16"/>
          <w:szCs w:val="16"/>
          <w:color w:val="auto"/>
        </w:rPr>
      </w:pPr>
    </w:p>
    <w:p>
      <w:pPr>
        <w:ind w:left="1140" w:hanging="284"/>
        <w:spacing w:after="0"/>
        <w:tabs>
          <w:tab w:leader="none" w:pos="11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in the case of repurchase for consideration, the minimum and maximum consideration per share;</w:t>
      </w:r>
    </w:p>
    <w:p>
      <w:pPr>
        <w:spacing w:after="0" w:line="198" w:lineRule="exact"/>
        <w:rPr>
          <w:rFonts w:ascii="Arial" w:cs="Arial" w:eastAsia="Arial" w:hAnsi="Arial"/>
          <w:sz w:val="16"/>
          <w:szCs w:val="16"/>
          <w:color w:val="auto"/>
        </w:rPr>
      </w:pPr>
    </w:p>
    <w:p>
      <w:pPr>
        <w:jc w:val="both"/>
        <w:ind w:left="860" w:right="20" w:hanging="291"/>
        <w:spacing w:after="0" w:line="262" w:lineRule="auto"/>
        <w:tabs>
          <w:tab w:leader="none" w:pos="8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redemptions, including shares previously acquired by the Company and held by it in its portfolio and shares acquired by a person acting in his, her or its own name, but on behalf of the Company, may not result in the net assets as shown in the annual accounts falling below the amount of the subscribed capital, increased by the reserves which Luxembourg law or the articles of association do not permit to distribute;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07" w:name="page108"/>
    <w:bookmarkEnd w:id="107"/>
    <w:p>
      <w:pPr>
        <w:ind w:left="864" w:hanging="291"/>
        <w:spacing w:after="0"/>
        <w:tabs>
          <w:tab w:leader="none" w:pos="864"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only fully paid-up Ordinary Shares may be repurchased; and</w:t>
      </w:r>
    </w:p>
    <w:p>
      <w:pPr>
        <w:spacing w:after="0" w:line="198" w:lineRule="exact"/>
        <w:rPr>
          <w:rFonts w:ascii="Arial" w:cs="Arial" w:eastAsia="Arial" w:hAnsi="Arial"/>
          <w:sz w:val="16"/>
          <w:szCs w:val="16"/>
          <w:color w:val="auto"/>
        </w:rPr>
      </w:pPr>
    </w:p>
    <w:p>
      <w:pPr>
        <w:jc w:val="both"/>
        <w:ind w:left="864" w:right="20" w:hanging="291"/>
        <w:spacing w:after="0" w:line="262" w:lineRule="auto"/>
        <w:tabs>
          <w:tab w:leader="none" w:pos="864"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offer to repurchase must be made on the same terms to all shareholders in the same situation except for repurchases which have been unanimously decided by a general meeting at which all shareholders were present or represented; similarly, listed companies may purchase their own Ordinary Shares on the stock exchange without an offer to acquire having to be made to its shareholders.</w:t>
      </w:r>
    </w:p>
    <w:p>
      <w:pPr>
        <w:spacing w:after="0" w:line="162" w:lineRule="exact"/>
        <w:rPr>
          <w:sz w:val="20"/>
          <w:szCs w:val="20"/>
          <w:color w:val="auto"/>
        </w:rPr>
      </w:pPr>
    </w:p>
    <w:p>
      <w:pPr>
        <w:jc w:val="both"/>
        <w:ind w:left="4" w:firstLine="574"/>
        <w:spacing w:after="0" w:line="306" w:lineRule="auto"/>
        <w:rPr>
          <w:sz w:val="20"/>
          <w:szCs w:val="20"/>
          <w:color w:val="auto"/>
        </w:rPr>
      </w:pPr>
      <w:r>
        <w:rPr>
          <w:rFonts w:ascii="Arial" w:cs="Arial" w:eastAsia="Arial" w:hAnsi="Arial"/>
          <w:sz w:val="14"/>
          <w:szCs w:val="14"/>
          <w:color w:val="auto"/>
        </w:rPr>
        <w:t>When the acquisition of the Company’s own Ordinary Shares is necessary to avoid serious and imminent harm to the Company, the prior authorization by a simple majority vote at an ordinary general meeting of shareholders described in paragraph (1) above shall not apply. In such a case, the Board of Directors must inform the shareholders at the following general meeting of the reasons for, and purpose of, the redemption, the number and nominal value, or failing that, such acquired Ordinary Share’s accounting par value, the fraction of the subscribed capital such acquired Ordinary Shares represent, as well as the countervalue of such Ordinary Shares.</w:t>
      </w:r>
    </w:p>
    <w:p>
      <w:pPr>
        <w:spacing w:after="0" w:line="135" w:lineRule="exact"/>
        <w:rPr>
          <w:sz w:val="20"/>
          <w:szCs w:val="20"/>
          <w:color w:val="auto"/>
        </w:rPr>
      </w:pPr>
    </w:p>
    <w:p>
      <w:pPr>
        <w:jc w:val="both"/>
        <w:ind w:left="4" w:firstLine="574"/>
        <w:spacing w:after="0" w:line="280" w:lineRule="auto"/>
        <w:rPr>
          <w:sz w:val="20"/>
          <w:szCs w:val="20"/>
          <w:color w:val="auto"/>
        </w:rPr>
      </w:pPr>
      <w:r>
        <w:rPr>
          <w:rFonts w:ascii="Arial" w:cs="Arial" w:eastAsia="Arial" w:hAnsi="Arial"/>
          <w:sz w:val="15"/>
          <w:szCs w:val="15"/>
          <w:color w:val="auto"/>
        </w:rPr>
        <w:t>The prior authorization by a simple majority vote at an ordinary general meeting of shareholders described in paragraph (1) above shall also not apply in the case of Ordinary Shares acquired either by the Company itself or by a person acting in his, her or its own name, but on behalf of the Company, for distribution to the employees of the Company or to the employees of an affiliate of Company due to a control relationship (i.e., its subsidiaries or controlling shareholder) or in any of the circumstances listed in article 430-16 of the 1915 Law. The distribution of such Ordinary Shares must be made within 12 months of the acquisition of those shares.</w:t>
      </w:r>
    </w:p>
    <w:p>
      <w:pPr>
        <w:spacing w:after="0" w:line="151" w:lineRule="exact"/>
        <w:rPr>
          <w:sz w:val="20"/>
          <w:szCs w:val="20"/>
          <w:color w:val="auto"/>
        </w:rPr>
      </w:pPr>
    </w:p>
    <w:p>
      <w:pPr>
        <w:jc w:val="both"/>
        <w:ind w:left="4" w:right="20" w:firstLine="574"/>
        <w:spacing w:after="0" w:line="306" w:lineRule="auto"/>
        <w:rPr>
          <w:sz w:val="20"/>
          <w:szCs w:val="20"/>
          <w:color w:val="auto"/>
        </w:rPr>
      </w:pPr>
      <w:r>
        <w:rPr>
          <w:rFonts w:ascii="Arial" w:cs="Arial" w:eastAsia="Arial" w:hAnsi="Arial"/>
          <w:sz w:val="14"/>
          <w:szCs w:val="14"/>
          <w:color w:val="auto"/>
        </w:rPr>
        <w:t>The authorization will be valid for a period ending on the earlier of five years from the date of such shareholder authorization and the date of its renewal by a subsequent general meeting of shareholders. Pursuant to such authorization, the Board of Directors is authorized to redeem all Ordinary Shares under the conditions set forth in article 430-15 of the 1915 Law. Such purchases and sales may be carried out for any authorized purpose or any purpose that is authorized by the laws and regulations in force. The purchase price per Ordinary Share to be determined by the Board of Directors or its delegate shall represent not more than the fair market value of such Ordinary Shares.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Voting rights</w:t>
      </w:r>
    </w:p>
    <w:p>
      <w:pPr>
        <w:spacing w:after="0" w:line="202" w:lineRule="exact"/>
        <w:rPr>
          <w:sz w:val="20"/>
          <w:szCs w:val="20"/>
          <w:color w:val="auto"/>
        </w:rPr>
      </w:pPr>
    </w:p>
    <w:p>
      <w:pPr>
        <w:jc w:val="both"/>
        <w:ind w:left="4" w:right="20" w:firstLine="574"/>
        <w:spacing w:after="0" w:line="287" w:lineRule="auto"/>
        <w:rPr>
          <w:sz w:val="20"/>
          <w:szCs w:val="20"/>
          <w:color w:val="auto"/>
        </w:rPr>
      </w:pPr>
      <w:r>
        <w:rPr>
          <w:rFonts w:ascii="Arial" w:cs="Arial" w:eastAsia="Arial" w:hAnsi="Arial"/>
          <w:sz w:val="15"/>
          <w:szCs w:val="15"/>
          <w:color w:val="auto"/>
        </w:rPr>
        <w:t>Each Ordinary Share, Redeemable A Share and Redeemable B Share entitles the holder thereof to one vote. Neither Luxembourg law nor the Company’s amended and restated articles of association contain any restrictions as to the voting of Ordinary Shares, Redeemable A Shares and Redeemable B Shares by non-Luxembourg residents. The voting rights of the Redeemable A Shares and Redeemable B Shares are currently suspended as they are held in treasury by the Company.</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Meetings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Ordinary General Meeting</w:t>
      </w:r>
    </w:p>
    <w:p>
      <w:pPr>
        <w:spacing w:after="0" w:line="198"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In accordance with the 1915 Law and the Company’s amended and restated articles of association, there is no quorum requirement at an ordinary general meeting and resolutions are adopted by a simple majority of validly cast votes of the shareholders present or represented for a given duly convened ordinary general meeting. Abstentions and nil votes are not taken into account.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Extraordinary General Meeting</w:t>
      </w:r>
    </w:p>
    <w:p>
      <w:pPr>
        <w:spacing w:after="0" w:line="198" w:lineRule="exact"/>
        <w:rPr>
          <w:sz w:val="20"/>
          <w:szCs w:val="20"/>
          <w:color w:val="auto"/>
        </w:rPr>
      </w:pPr>
    </w:p>
    <w:p>
      <w:pPr>
        <w:jc w:val="both"/>
        <w:ind w:left="4" w:firstLine="574"/>
        <w:spacing w:after="0" w:line="294" w:lineRule="auto"/>
        <w:rPr>
          <w:sz w:val="20"/>
          <w:szCs w:val="20"/>
          <w:color w:val="auto"/>
        </w:rPr>
      </w:pPr>
      <w:r>
        <w:rPr>
          <w:rFonts w:ascii="Arial" w:cs="Arial" w:eastAsia="Arial" w:hAnsi="Arial"/>
          <w:sz w:val="14"/>
          <w:szCs w:val="14"/>
          <w:color w:val="auto"/>
        </w:rPr>
        <w:t>Extraordinary resolutions are required for any of the following matters, among others: (i) an increase or decrease of the authorized or issued capital (except if made by the Board of Directors under the authorized capital), (ii) a limitation or exclusion of preemptive rights (except if made by the Board of Directors under the authorized capital),</w:t>
      </w:r>
    </w:p>
    <w:p>
      <w:pPr>
        <w:spacing w:after="0" w:line="1" w:lineRule="exact"/>
        <w:rPr>
          <w:sz w:val="20"/>
          <w:szCs w:val="20"/>
          <w:color w:val="auto"/>
        </w:rPr>
      </w:pPr>
    </w:p>
    <w:p>
      <w:pPr>
        <w:jc w:val="both"/>
        <w:ind w:left="4" w:hanging="4"/>
        <w:spacing w:after="0" w:line="294" w:lineRule="auto"/>
        <w:tabs>
          <w:tab w:leader="none" w:pos="285" w:val="left"/>
        </w:tabs>
        <w:numPr>
          <w:ilvl w:val="0"/>
          <w:numId w:val="54"/>
        </w:numPr>
        <w:rPr>
          <w:rFonts w:ascii="Arial" w:cs="Arial" w:eastAsia="Arial" w:hAnsi="Arial"/>
          <w:sz w:val="14"/>
          <w:szCs w:val="14"/>
          <w:color w:val="auto"/>
        </w:rPr>
      </w:pPr>
      <w:r>
        <w:rPr>
          <w:rFonts w:ascii="Arial" w:cs="Arial" w:eastAsia="Arial" w:hAnsi="Arial"/>
          <w:sz w:val="14"/>
          <w:szCs w:val="14"/>
          <w:color w:val="auto"/>
        </w:rPr>
        <w:t>approval of a statutory merger or de-merger (</w:t>
      </w:r>
      <w:r>
        <w:rPr>
          <w:rFonts w:ascii="Arial" w:cs="Arial" w:eastAsia="Arial" w:hAnsi="Arial"/>
          <w:sz w:val="14"/>
          <w:szCs w:val="14"/>
          <w:i w:val="1"/>
          <w:iCs w:val="1"/>
          <w:color w:val="auto"/>
        </w:rPr>
        <w:t>scission</w:t>
      </w:r>
      <w:r>
        <w:rPr>
          <w:rFonts w:ascii="Arial" w:cs="Arial" w:eastAsia="Arial" w:hAnsi="Arial"/>
          <w:sz w:val="14"/>
          <w:szCs w:val="14"/>
          <w:color w:val="auto"/>
        </w:rPr>
        <w:t>), (iv) the Company’s dissolution and liquidation, (v) any and all amendments to the Company’s amended and restated articles of association and (vi) change of nationality. Pursuant to the 1915 Law and the Company’s amended and restated articles of association, for any resolutions to be considered at an extraordinary general meeting of shareholders, the quorum shall be at least half (1/2) of the Company’s issued share capital at a first duly convened meeting, unless otherwise mandatorily required by law. If the said quorum is not reached, a second meeting may be convened, for which the 1915 Law and the Company’s amended and restated articles of association do not prescribe a quorum. Any extraordinary resolution shall be adopted at a quorate general meeting, except otherwise provided by law, by at least a two-thirds (2/3) majority of the votes validly cast at such meeting by shareholders. Abstentions and nil votes are not taken into account.</w:t>
      </w:r>
    </w:p>
    <w:p>
      <w:pPr>
        <w:spacing w:after="0" w:line="33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i w:val="1"/>
          <w:iCs w:val="1"/>
          <w:color w:val="auto"/>
        </w:rPr>
        <w:t>Annual Shareholders Meetings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annual general meeting of shareholders must be held in the Grand Duchy of Luxembourg at the registered office of the Company within 6 months of the end of the preceding financial year.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20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Pursuant to the Warrant Amendment, Union assigned to the Company all of Union’s right, title and interest in the Warrant Agreement and the Company assumed, and agreed to pay, perform, satisfy and discharge in full, as the same become due, all of Union’s liabilities and obligations under the Warrant Agreement arising from and after the Merger Effective Time.</w:t>
      </w:r>
    </w:p>
    <w:p>
      <w:pPr>
        <w:spacing w:after="0" w:line="162" w:lineRule="exact"/>
        <w:rPr>
          <w:sz w:val="20"/>
          <w:szCs w:val="20"/>
          <w:color w:val="auto"/>
        </w:rPr>
      </w:pPr>
    </w:p>
    <w:p>
      <w:pPr>
        <w:jc w:val="both"/>
        <w:ind w:firstLine="574"/>
        <w:spacing w:after="0" w:line="252" w:lineRule="auto"/>
        <w:rPr>
          <w:sz w:val="20"/>
          <w:szCs w:val="20"/>
          <w:color w:val="auto"/>
        </w:rPr>
      </w:pPr>
      <w:r>
        <w:rPr>
          <w:rFonts w:ascii="Arial" w:cs="Arial" w:eastAsia="Arial" w:hAnsi="Arial"/>
          <w:sz w:val="16"/>
          <w:szCs w:val="16"/>
          <w:color w:val="auto"/>
        </w:rPr>
        <w:t>Each Warrant is exercisable for one Ordinary Share and only whole warrants are exercisable. The exercise price of the Warrants is $11.50 per share, subject to adjustment as described in the Warrant Agreement. A Warrant may be exercised only during the period commencing on the date of the consummation of the Business Combination, and terminating at 5:00 p.m., New York City time on the earlier to occur of: (x) the date that is five (5) years after the date the Business Combination was completed, (y) the redemption date as provided in Section 6.2 of the Warrant Agreement, or (z) the liquidation of the Company. Redemptions of warrants for cash pursuant to the Warrant Agreement, once the Public Warrants become exercisable, may be redeemed (i) in whole and not in part, (ii) at a price of $0.01 per warrant, (iii) upon not less than 30 days’ prior written notice of redemption to each warrant holder, and (iv) if, and only if, the reported last sale price of the Ordinary Shares equals or exceeds $18.00 per share for any 20 trading days within a 30-trading day period ending three business days before sending the notice of redemption to each warrant holder. If the Public Warrants are called for redemption for cash, management will have the option to require all holders that wish to exercise the Public Warrants to do so on a “cashless basis,” as described in the Warrant Agreement.</w:t>
      </w:r>
    </w:p>
    <w:p>
      <w:pPr>
        <w:spacing w:after="0" w:line="173"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The Private Placement Warrants are identical to the Public Warrants, except that the Private Placement Warrants and the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mentioned above) so long as they are held by the initial purchasers or their permitted transferees. If the Private Placement Warrants are held by someone other than the initial purchasers or their permitted transferees, the Private Placement Warrants will be redeemable and exercisable by such holders on the same basis as the Public Warrants.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02"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From the annual net profits of the Company, at least 5% shall each year be allocated to the Legal Reserve. That allocation to the Legal Reserve will cease to be mandatory as soon and as long as the aggregate amount of the Legal Reserve amounts to 10% of the amount of the share capital of the Company. The general meeting of shareholders shall resolve how the remainder of the annual net profits, after allocation to the Legal Reserve, will be disposed of by allocating the whole or part of the remainder to a reserve or to a provision, by carrying it forward to the next following financial year or by distributing it, together with carried forward profits, distributable reserves or share premium to the shareholders in proportion to the number of ordinary shares they hold in the Company.</w:t>
      </w:r>
    </w:p>
    <w:p>
      <w:pPr>
        <w:spacing w:after="0" w:line="155"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The Board of Directors may resolve that the Company pays out an interim dividend to the shareholders, subject to the conditions of article 461-3 of the 1915 Law and the Company’s amended and restated articles of association. The Board of Directors shall set the amount and the date of payment of the interim dividend.</w:t>
      </w:r>
    </w:p>
    <w:p>
      <w:pPr>
        <w:spacing w:after="0" w:line="129"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Any share premium, assimilated premium or other distributable reserve may be freely distributed to the shareholders subject to the provisions of the 1915 Law and the Company’s amended and restated articles of association. The dividend entitlement lapses upon the expiration of a five-year prescription period from the date of the dividend distribution. The unclaimed dividends return to the Company’s accounts.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MATERIAL CONTRACTS</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With the exception of the material agreements described in Item 7.B under the heading “Related Party Transactions-Agreements with Major Shareholders” and those executed in connection with the Business Combination, explained elsewhere in this annual report, all contracts concluded by us during the two years preceding the date of this annual report were entered into in the ordinary course of business.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EXCHANGE CONTROLS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TAXATION</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following is a summary of the material Luxembourg and U.S. federal income tax consequences of the ownership and disposition of our common shares by persons addressed herein.</w:t>
      </w:r>
    </w:p>
    <w:p>
      <w:pPr>
        <w:spacing w:after="0" w:line="152"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Potential investors in our common shares should consult their own tax advisors concerning the specific Luxembourg and U.S. federal, state and local tax consequences of the ownership and disposition of our common shares in light of their particular situations as well as any consequences arising under the laws of any other taxing jurisdiction.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color w:val="auto"/>
        </w:rPr>
        <w:t>LUXEMBOURG TAX CONSIDERATIONS</w:t>
      </w:r>
    </w:p>
    <w:p>
      <w:pPr>
        <w:spacing w:after="0" w:line="20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The following is a general description of certain Luxembourg tax considerations relating to the Company and the holders of Ordinary Shares and Warrants. It does not purport to be a complete analysis of all tax considerations in relation to the Ordinary Shares and Warrants. Prospective purchasers should consult their own tax advisers as to which countries’ tax laws could be relevant to acquiring, holding and disposing of the securities and the consequences of such actions under the tax laws of those countries. This overview is based upon the law as in effect on the date of this annual report and is subject to any change in law that may take effect after such date, even with retroactive effect.</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summary below is intended as an overview of certain tax consequences in relation to the Company and the purchase, ownership and disposition of Ordinary Shares and Warrants under Luxembourg law.</w:t>
      </w:r>
    </w:p>
    <w:p>
      <w:pPr>
        <w:spacing w:after="0" w:line="152"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Please be aware that the residence concept used under the respective headings below applies for Luxembourg income tax assessment purposes only. Any reference in the present section to a tax, duty, levy impost or other charge or withholding of a similar nature refers to Luxembourg tax law and/or concepts only. Also, please note that a reference to Luxembourg income tax generally encompasses corporate income tax (</w:t>
      </w:r>
      <w:r>
        <w:rPr>
          <w:rFonts w:ascii="Arial" w:cs="Arial" w:eastAsia="Arial" w:hAnsi="Arial"/>
          <w:sz w:val="14"/>
          <w:szCs w:val="14"/>
          <w:i w:val="1"/>
          <w:iCs w:val="1"/>
          <w:color w:val="auto"/>
        </w:rPr>
        <w:t>impôt sur le revenu des collectivités</w:t>
      </w:r>
      <w:r>
        <w:rPr>
          <w:rFonts w:ascii="Arial" w:cs="Arial" w:eastAsia="Arial" w:hAnsi="Arial"/>
          <w:sz w:val="14"/>
          <w:szCs w:val="14"/>
          <w:color w:val="auto"/>
        </w:rPr>
        <w:t>), municipal business tax (</w:t>
      </w:r>
      <w:r>
        <w:rPr>
          <w:rFonts w:ascii="Arial" w:cs="Arial" w:eastAsia="Arial" w:hAnsi="Arial"/>
          <w:sz w:val="14"/>
          <w:szCs w:val="14"/>
          <w:i w:val="1"/>
          <w:iCs w:val="1"/>
          <w:color w:val="auto"/>
        </w:rPr>
        <w:t>impôt commercial communal</w:t>
      </w:r>
      <w:r>
        <w:rPr>
          <w:rFonts w:ascii="Arial" w:cs="Arial" w:eastAsia="Arial" w:hAnsi="Arial"/>
          <w:sz w:val="14"/>
          <w:szCs w:val="14"/>
          <w:color w:val="auto"/>
        </w:rPr>
        <w:t>), a solidarity surcharge (</w:t>
      </w:r>
      <w:r>
        <w:rPr>
          <w:rFonts w:ascii="Arial" w:cs="Arial" w:eastAsia="Arial" w:hAnsi="Arial"/>
          <w:sz w:val="14"/>
          <w:szCs w:val="14"/>
          <w:i w:val="1"/>
          <w:iCs w:val="1"/>
          <w:color w:val="auto"/>
        </w:rPr>
        <w:t>contribution au fonds pour l’emploi</w:t>
      </w:r>
      <w:r>
        <w:rPr>
          <w:rFonts w:ascii="Arial" w:cs="Arial" w:eastAsia="Arial" w:hAnsi="Arial"/>
          <w:sz w:val="14"/>
          <w:szCs w:val="14"/>
          <w:color w:val="auto"/>
        </w:rPr>
        <w:t>) as well as personal income tax (</w:t>
      </w:r>
      <w:r>
        <w:rPr>
          <w:rFonts w:ascii="Arial" w:cs="Arial" w:eastAsia="Arial" w:hAnsi="Arial"/>
          <w:sz w:val="14"/>
          <w:szCs w:val="14"/>
          <w:i w:val="1"/>
          <w:iCs w:val="1"/>
          <w:color w:val="auto"/>
        </w:rPr>
        <w:t>impôt sur le revenu des personnes physiques</w:t>
      </w:r>
      <w:r>
        <w:rPr>
          <w:rFonts w:ascii="Arial" w:cs="Arial" w:eastAsia="Arial" w:hAnsi="Arial"/>
          <w:sz w:val="14"/>
          <w:szCs w:val="14"/>
          <w:color w:val="auto"/>
        </w:rPr>
        <w:t>). Corporate taxpayers may further be subject to net worth tax (</w:t>
      </w:r>
      <w:r>
        <w:rPr>
          <w:rFonts w:ascii="Arial" w:cs="Arial" w:eastAsia="Arial" w:hAnsi="Arial"/>
          <w:sz w:val="14"/>
          <w:szCs w:val="14"/>
          <w:i w:val="1"/>
          <w:iCs w:val="1"/>
          <w:color w:val="auto"/>
        </w:rPr>
        <w:t>impôt sur la fortune</w:t>
      </w:r>
      <w:r>
        <w:rPr>
          <w:rFonts w:ascii="Arial" w:cs="Arial" w:eastAsia="Arial" w:hAnsi="Arial"/>
          <w:sz w:val="14"/>
          <w:szCs w:val="14"/>
          <w:color w:val="auto"/>
        </w:rPr>
        <w:t>), as well as other duties, levies and taxes. Corporate income tax, municipal business tax and the solidarity surcharge invariably apply to most corporate taxpayers’ resident in Luxembourg for tax purposes. Individual taxpayers are generally subject to personal income tax and solidarity surcharge. Under certain circumstances, where individual taxpayers act in the course of the management of a professional or business undertaking, municipal business tax may apply as well.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Taxation of the Company</w:t>
      </w:r>
    </w:p>
    <w:p>
      <w:pPr>
        <w:spacing w:after="0" w:line="20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The Company is subject to Luxembourg tax on its worldwide profits at the current combined ordinary rate of 24.94% for Luxembourg City, including the 17% corporate income tax, a 6.75% municipal business tax (rate in the municipality of Luxembourg City in 2022) and a solidarity surcharge (together the “Income Tax”).</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principle, dividends and capital gains realized by the Company are fully subject to Income Tax in Luxembourg.</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However, provided the conditions of the Luxembourg participation exemption regime are met, dividends or capital gains realized by the Company upon the disposal of shares are not taxable in Luxembourg.</w:t>
      </w:r>
    </w:p>
    <w:p>
      <w:pPr>
        <w:spacing w:after="0" w:line="15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Luxembourg net wealth tax (“NWT”) will be due annually by the Company at the rate of 0.5% on its total net asset value below or equal to € 500 million. The tranche above € 500 million will be taxed at a rate of 0.05%. Net worth is referred to as the unitary value (</w:t>
      </w:r>
      <w:r>
        <w:rPr>
          <w:rFonts w:ascii="Arial" w:cs="Arial" w:eastAsia="Arial" w:hAnsi="Arial"/>
          <w:sz w:val="14"/>
          <w:szCs w:val="14"/>
          <w:i w:val="1"/>
          <w:iCs w:val="1"/>
          <w:color w:val="auto"/>
        </w:rPr>
        <w:t>valeur unitaire</w:t>
      </w:r>
      <w:r>
        <w:rPr>
          <w:rFonts w:ascii="Arial" w:cs="Arial" w:eastAsia="Arial" w:hAnsi="Arial"/>
          <w:sz w:val="14"/>
          <w:szCs w:val="14"/>
          <w:color w:val="auto"/>
        </w:rPr>
        <w:t>), as determined at January 1 of each year. The unitary value is in principle calculated as the difference between (i) assets estimated at their fair market value (</w:t>
      </w:r>
      <w:r>
        <w:rPr>
          <w:rFonts w:ascii="Arial" w:cs="Arial" w:eastAsia="Arial" w:hAnsi="Arial"/>
          <w:sz w:val="14"/>
          <w:szCs w:val="14"/>
          <w:i w:val="1"/>
          <w:iCs w:val="1"/>
          <w:color w:val="auto"/>
        </w:rPr>
        <w:t>valeur estimée de réalisation</w:t>
      </w:r>
      <w:r>
        <w:rPr>
          <w:rFonts w:ascii="Arial" w:cs="Arial" w:eastAsia="Arial" w:hAnsi="Arial"/>
          <w:sz w:val="14"/>
          <w:szCs w:val="14"/>
          <w:color w:val="auto"/>
        </w:rPr>
        <w:t>), and (ii) liabilities vis-à-vis third parties.</w:t>
      </w:r>
    </w:p>
    <w:p>
      <w:pPr>
        <w:spacing w:after="0" w:line="127"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Shareholdings qualifying for the Luxembourg participation exemption regime are excluded from the NWT basis provided that, the Company holds a direct shareholding in a qualifying subsidiary representing at least 10% of the qualifying subsidiary’s share capital or having an acquisition cost (including both share capital and share premium) of at least € 1.2 million; there is no minimum holding period requirement.</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Companies for which the sum of fixed financial assets (i.e., financial assets notably including shares and loans, transferable securities and cash) exceeds 90% of their total balance sheet and € 350,000 are liable to a minimum annual NWT of € 4,815. Other companies are liable to a minimum progressive tax (in an amount up to € 32,100), depending on the total assets on their balance sheet.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Withholding taxation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Any dividend distributed by the Company to its shareholders will in principle be subject to a 15% withholding tax unless an exemption or a reduced treaty rate applies.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color w:val="auto"/>
        </w:rPr>
        <w:t>Luxembourg taxation of the holders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Luxembourg tax residence of the holders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Holders will not be deemed to be resident, domiciled or carrying on business in Luxembourg solely by reason of holding, execution, performance, delivery, exchange and/or enforcement of the Ordinary Shares or Warrants.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Taxation of Luxembourg non-residents</w:t>
      </w:r>
    </w:p>
    <w:p>
      <w:pPr>
        <w:spacing w:after="0" w:line="198"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Holders who are non-residents of Luxembourg and who do not have a permanent establishment, a permanent representative, or a fixed place of business in Luxembourg with which the holding of the Ordinary Shares or Warrants is connected, are not liable to any Luxembourg income tax, whether they receive payments upon redemption or repurchase of the Ordinary Shares or Warrants, or realize capital gains on the sale of any Ordinary Shares or Warrants, unless they sell a participation of more than 10% in the Company within 6 months of its acquisition, or in case of a disposal of Ordinary Shares or Warrants after 6 months or more, such holder had been a Grand Duchy of Luxembourg resident taxpayer for more than 15 years and has become a non-Luxembourg taxpayer less than 5 years before the disposal of Ordinary Shares or Warrants occurs.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Taxation of Luxembourg residents</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Holders who are Luxembourg resident individuals will generally be subject to income tax on income derived from the Ordinary Shares and Warrants. Capital gains realized upon the disposal, sale or redemption of the Ordinary Shares and Warrants by individual resident holders acting in the course of the management of their private wealth are in principle not subject to income tax (except if the gain has been realized within 6 months of the acquisition of the Ordinary Shares or Warrants), to the extent they do not hold a participation of more than 10% in the Company.</w:t>
      </w:r>
    </w:p>
    <w:p>
      <w:pPr>
        <w:spacing w:after="0" w:line="16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Holders who are Luxembourg resident companies (</w:t>
      </w:r>
      <w:r>
        <w:rPr>
          <w:rFonts w:ascii="Arial" w:cs="Arial" w:eastAsia="Arial" w:hAnsi="Arial"/>
          <w:sz w:val="16"/>
          <w:szCs w:val="16"/>
          <w:i w:val="1"/>
          <w:iCs w:val="1"/>
          <w:color w:val="auto"/>
        </w:rPr>
        <w:t>société de capitaux</w:t>
      </w:r>
      <w:r>
        <w:rPr>
          <w:rFonts w:ascii="Arial" w:cs="Arial" w:eastAsia="Arial" w:hAnsi="Arial"/>
          <w:sz w:val="16"/>
          <w:szCs w:val="16"/>
          <w:color w:val="auto"/>
        </w:rPr>
        <w:t>) or foreign entities which have a permanent establishment or a permanent representative in Luxembourg with which the holding of the Ordinary Shares or Warrants is connected, must include in their taxable income any income (including dividend) and the difference between the sale or redemption price and the lower of the cost or book value of the Ordinary Shares and Warrants sold or redeemed unless the conditions of the participation exemption regime are satisfied. Under Luxembourg tax law it is debatable to what extent the Warrants are eligible for the participation exemption regime although certain case law supports such argumentation in certain circumstances.</w:t>
      </w:r>
    </w:p>
    <w:p>
      <w:pPr>
        <w:spacing w:after="0" w:line="17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If the conditions of the participation exemption regime are not met, 50% of the dividends distributed by the Company to the Luxembourg resident company, or to the foreign holders of Ordinary Shares having a permanent establishment or a permanent representative in Luxembourg with which the holding of the Ordinary Shares is connected, should nevertheless be exempt from income tax.</w:t>
      </w:r>
    </w:p>
    <w:p>
      <w:pPr>
        <w:spacing w:after="0" w:line="16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A holder who is a Luxembourg resident company benefiting from a special tax regime, such as (i) a specialized investment fund governed by the amended law of February 13, 2007, (ii) a family wealth management company governed by the amended law of May 11, 2007, (iii) an undertaking for collective investment governed by the amended law of December 17, 2010 or (iv) a reserved alternative investment fund treated as a specialized investment fund for Luxembourg tax purposes governed by the amended law of July 23, 2016 is exempt from income tax in Luxembourg and profits derived from the Ordinary Shares and Warrants are thus not subject to Luxembourg income tax.</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Wealth Tax</w:t>
      </w:r>
    </w:p>
    <w:p>
      <w:pPr>
        <w:spacing w:after="0" w:line="198"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A Luxembourg resident as well as a non-resident who has a permanent establishment or a permanent representative in Luxembourg to which the Ordinary Shares or Warrants are attributable, are subject to Luxembourg NWT on such Ordinary Shares or Warrants, except if the holder is (i) a resident or non-resident individual taxpayer, (ii) a securitization company governed by the amended law of March 22, 2004 on securitization, (iii) a company governed by the amended law of June 15, 2004 on venture capital vehicles, (iv) a professional pension institution governed by the amended law dated July 13, 2005, (v) a specialized investment fund governed by the amended law of February 13, 2007, (vi) a family wealth management company governed by the law of May 11, 2007, (vii) an undertaking for collective investment governed by the amended law of December 17, 2010 or (viii) a reserved alternative investment fund governed by the amended law of July 23, 2016.</w:t>
      </w:r>
    </w:p>
    <w:p>
      <w:pPr>
        <w:spacing w:after="0" w:line="157"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However, (i) a securitization company governed by the amended law of March 22, 2004 on securitization, (ii) a company governed by the amended law of June 15, 2004 on venture capital vehicles, (iii) a professional pension institution governed by the amended law dated July 13, 2005 and (iv) an opaque reserved alternative investment fund treated as a venture capital vehicle governed by the amended law of July 23, 2016 remain subject to minimum NWT.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11" w:name="page112"/>
    <w:bookmarkEnd w:id="111"/>
    <w:p>
      <w:pPr>
        <w:jc w:val="both"/>
        <w:ind w:firstLine="574"/>
        <w:spacing w:after="0" w:line="258" w:lineRule="auto"/>
        <w:rPr>
          <w:sz w:val="20"/>
          <w:szCs w:val="20"/>
          <w:color w:val="auto"/>
        </w:rPr>
      </w:pPr>
      <w:r>
        <w:rPr>
          <w:rFonts w:ascii="Arial" w:cs="Arial" w:eastAsia="Arial" w:hAnsi="Arial"/>
          <w:sz w:val="16"/>
          <w:szCs w:val="16"/>
          <w:color w:val="auto"/>
        </w:rPr>
        <w:t>The minimum NWT tax is levied on companies having their statutory seat or central administration in Luxembourg. For entities for which the sum of fixed financial assets, receivables against related companies, transferable securities and cash at bank exceeds 90% of their total gross assets and € 350,000, the minimum NWT is currently set at € 4,815. For all other companies having their statutory seat or central administration in Luxembourg which do not fall within the scope of the € 4,815 minimum NWT, the minimum NWT ranges from € 535 to € 32,100, depending on the company’s total gross assets.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Taxes</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No stamp, value, issue, registration, transfer or similar taxes or duties will be payable in Luxembourg by shareholders in connection with the issue of the Ordinary Shares and Warrants, nor will any of these taxes be payable as a consequence of a subsequent transfer, exchange or redemption of the Ordinary Shares or Warrants, unless the documents relating to the Ordinary Shares or Warrants are (i) voluntarily registered in Luxembourg or (ii) appended to a document that requires obligatory registration in Luxembourg.</w:t>
      </w:r>
    </w:p>
    <w:p>
      <w:pPr>
        <w:spacing w:after="0" w:line="16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There is no Luxembourg value added tax payable in respect of payments in consideration for the issuance of the Ordinary Shares or Warrants or in respect of the payment under the Ordinary Shares or Warrants or the transfer of the Ordinary Shares or Warrants. Luxembourg value added tax may, however, be payable in respect of fees charged for certain services rendered to the Company if, for Luxembourg value added tax purposes, such services are rendered or are deemed to be rendered in Luxembourg and an exemption from Luxembourg value added tax does not apply with respect to such services.</w:t>
      </w:r>
    </w:p>
    <w:p>
      <w:pPr>
        <w:spacing w:after="0" w:line="16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No Luxembourg inheritance tax is levied on the transfer of the Ordinary Shares or Warrants upon the death of a holder in cases where the deceased was not a resident of Luxembourg for inheritance tax purposes. Where a holder is a resident of Luxembourg for tax purposes at the time of his death, the Ordinary Shares and Warrants are included in such holder’s taxable estate for inheritance tax assessment purposes. No Luxembourg gift tax will be levied on the transfer of Ordinary Shares or Warrants by way of gift unless the gift is registered in Luxembourg.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FEDERAL INCOME TAX CONSIDERATIONS</w:t>
      </w:r>
    </w:p>
    <w:p>
      <w:pPr>
        <w:spacing w:after="0" w:line="20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The following is a discussion of certain U.S. federal income tax considerations to U.S. holders (as defined below) relating to the acquisition, ownership and disposition of the Ordinary Shares and Warrants as of the date hereof. The discussion below only applies to the Ordinary Share and Warrants held as capital assets for U.S. federal income tax purposes and does not describe all of the tax consequences that may be relevant to holders in light of their particular circumstances, including alternative minimum tax and Medicare contribution tax consequences, or holders who are subject to special rules, such as:</w:t>
      </w:r>
    </w:p>
    <w:p>
      <w:pPr>
        <w:spacing w:after="0" w:line="165" w:lineRule="exact"/>
        <w:rPr>
          <w:sz w:val="20"/>
          <w:szCs w:val="20"/>
          <w:color w:val="auto"/>
        </w:rPr>
      </w:pPr>
    </w:p>
    <w:p>
      <w:pPr>
        <w:ind w:left="860" w:hanging="291"/>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financial institutions or financial services entities;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insurance companies;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government agencies or instrumentalities thereof;</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regulated investment companies and real estate investment trusts;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expatriates or former residents of the United States;</w:t>
      </w:r>
    </w:p>
    <w:p>
      <w:pPr>
        <w:spacing w:after="0" w:line="198"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persons that acquired the Ordinary Shares or Warrants pursuant to an exercise of employee share options, in connection with employee share incentive plans or otherwise as compensation;</w:t>
      </w:r>
    </w:p>
    <w:p>
      <w:pPr>
        <w:spacing w:after="0" w:line="151" w:lineRule="exact"/>
        <w:rPr>
          <w:rFonts w:ascii="Arial" w:cs="Arial" w:eastAsia="Arial" w:hAnsi="Arial"/>
          <w:sz w:val="16"/>
          <w:szCs w:val="16"/>
          <w:color w:val="auto"/>
        </w:rPr>
      </w:pPr>
    </w:p>
    <w:p>
      <w:pPr>
        <w:ind w:left="860" w:hanging="291"/>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dealers or traders subject to a mark-to-market method of tax accounting with respect to the Ordinary Shares or Warrants;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persons holding the Ordinary Shares or Warrants as part of a “straddle,” constructive sale, hedging, integrated transactions or similar transactions;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U.S. holders whose functional currency is not the U.S. dollar;</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partnerships or other pass-through entities for U.S. federal income tax purposes or investors in such entities;</w:t>
      </w:r>
    </w:p>
    <w:p>
      <w:pPr>
        <w:spacing w:after="0" w:line="198"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person required to accelerate the recognition of any item of gross income with respect to the Ordinary Shares or Warrants as a result of such income being recognized on an applicable financial statement;</w:t>
      </w:r>
    </w:p>
    <w:p>
      <w:pPr>
        <w:spacing w:after="0" w:line="151" w:lineRule="exact"/>
        <w:rPr>
          <w:rFonts w:ascii="Arial" w:cs="Arial" w:eastAsia="Arial" w:hAnsi="Arial"/>
          <w:sz w:val="16"/>
          <w:szCs w:val="16"/>
          <w:color w:val="auto"/>
        </w:rPr>
      </w:pPr>
    </w:p>
    <w:p>
      <w:pPr>
        <w:ind w:left="860" w:hanging="291"/>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person actually or constructively owning 10% or more of the Ordinary Shares (by vote or value); or</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tax-exempt entities.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12" w:name="page113"/>
    <w:bookmarkEnd w:id="112"/>
    <w:p>
      <w:pPr>
        <w:jc w:val="both"/>
        <w:ind w:firstLine="574"/>
        <w:spacing w:after="0" w:line="258" w:lineRule="auto"/>
        <w:rPr>
          <w:sz w:val="20"/>
          <w:szCs w:val="20"/>
          <w:color w:val="auto"/>
        </w:rPr>
      </w:pPr>
      <w:r>
        <w:rPr>
          <w:rFonts w:ascii="Arial" w:cs="Arial" w:eastAsia="Arial" w:hAnsi="Arial"/>
          <w:sz w:val="16"/>
          <w:szCs w:val="16"/>
          <w:color w:val="auto"/>
        </w:rPr>
        <w:t>This discussion does not consider the tax treatment of entities that are partnerships or other pass-through entities for U.S. federal income tax purposes or persons who hold the Ordinary Shares or Warrants through such entities. If a partnership or other pass-through entity for U.S. federal income tax purposes is the beneficial owner of Ordinary Shares or Warrants, the U.S. federal income tax treatment of partners of the partnership will generally depend on the status of the partners and the activities of the partner and the partnership.</w:t>
      </w:r>
    </w:p>
    <w:p>
      <w:pPr>
        <w:spacing w:after="0" w:line="165"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This discussion is based on the Code, and administrative pronouncements, judicial decisions and final, temporary and proposed U.S. Treasury regulations all as of the date hereof, changes to any of which subsequent to the date of this annual report may affect the tax consequences described in this annual report. This discussion does not take into account potential suggested or proposed changes in such tax laws which may impact the discussion below and does not address any aspect of state, local or non-U.S. taxation, or any U.S. federal taxes other than income taxes. Each of the foregoing is subject to change, potentially with retroactive effect. Holders are urged to consult their tax advisors with respect to the application of U.S. federal tax laws to their particular situation, as well as any tax consequences arising under the laws of any state, local or non-U.S. jurisdiction.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purposes of this discussion, a U.S. holder means a beneficial owner of Ordinary Shares or Warrants that is, for U.S. federal income tax purposes:</w:t>
      </w:r>
    </w:p>
    <w:p>
      <w:pPr>
        <w:spacing w:after="0" w:line="198" w:lineRule="exact"/>
        <w:rPr>
          <w:sz w:val="20"/>
          <w:szCs w:val="20"/>
          <w:color w:val="auto"/>
        </w:rPr>
      </w:pPr>
    </w:p>
    <w:p>
      <w:pPr>
        <w:ind w:left="860" w:hanging="291"/>
        <w:spacing w:after="0"/>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98"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for U.S. federal income tax purposes) created or organized in or under the laws of the United States, any state thereof or the District of Columbia;</w:t>
      </w:r>
    </w:p>
    <w:p>
      <w:pPr>
        <w:spacing w:after="0" w:line="151" w:lineRule="exact"/>
        <w:rPr>
          <w:rFonts w:ascii="Arial" w:cs="Arial" w:eastAsia="Arial" w:hAnsi="Arial"/>
          <w:sz w:val="16"/>
          <w:szCs w:val="16"/>
          <w:color w:val="auto"/>
        </w:rPr>
      </w:pPr>
    </w:p>
    <w:p>
      <w:pPr>
        <w:ind w:left="860" w:hanging="291"/>
        <w:spacing w:after="0"/>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 estate whose income is subject to U.S. federal income tax regardless of its source; or</w:t>
      </w:r>
    </w:p>
    <w:p>
      <w:pPr>
        <w:spacing w:after="0" w:line="198" w:lineRule="exact"/>
        <w:rPr>
          <w:rFonts w:ascii="Arial" w:cs="Arial" w:eastAsia="Arial" w:hAnsi="Arial"/>
          <w:sz w:val="16"/>
          <w:szCs w:val="16"/>
          <w:color w:val="auto"/>
        </w:rPr>
      </w:pPr>
    </w:p>
    <w:p>
      <w:pPr>
        <w:ind w:left="860" w:right="20" w:hanging="291"/>
        <w:spacing w:after="0" w:line="309" w:lineRule="auto"/>
        <w:tabs>
          <w:tab w:leader="none" w:pos="8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29"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THIS DISCUSSION IS ONLY A SUMMARY OF CERTAIN U.S. FEDERAL INCOME TAX CONSEQUENCES OF THE ACQUISITION, OWNERSHIP AND DISPOSITION OF THE ORDINARY SHARES AND WARRANTS. EACH HOLDER OF ORDINARY SHARES OR WARRANTS IS URGED TO CONSULT ITS OWN TAX ADVISOR WITH RESPECT TO THE PARTICULAR TAX CONSEQUENCES TO SUCH INVESTOR, INCLUDING THE APPLICABILITY AND EFFECT OF ANY STATE, LOCAL, AND NON-U.S. TAX LAWS, AS WELL AS U.S. FEDERAL TAX LAWS AND ANY APPLICABLE TAX TREATIES.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Distributions on Ordinary Shares</w:t>
      </w:r>
    </w:p>
    <w:p>
      <w:pPr>
        <w:spacing w:after="0" w:line="198"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Subject to the discussion below under “— Passive Foreign Investment Company Rules”, the gross amount of any distribution on Ordinary Shares that is made out of the Company’s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the Company’s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 Because the Company may not determine its earnings and profits on the basis of U.S. federal income tax principles, it is expected that distributions on Ordinary Shares will generally be reported to U.S. holders as dividends.</w:t>
      </w:r>
    </w:p>
    <w:p>
      <w:pPr>
        <w:spacing w:after="0" w:line="144"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Dividends paid by the Company generally will be taxable to a non-corporate U.S. holder at the reduced rate normally applicable to long-term capital gains, provided that the Company is considered a “qualified foreign corporation” and certain other requirements are met. A qualified foreign corporation includes a foreign corporation that is eligible for the benefits of the income tax treaty between Luxembourg and the United States (the “Treaty”). A foreign corporation is also treated as a “qualified foreign corporation” with respect to dividends paid by that corporation on shares that are readily tradable on an established securities market in the United States. U.S. Treasury Department guidance indicates that the Ordinary Shares, which are listed on the NASDAQ, will be readily tradable on an established securities market in the United States. There can be no assurance, however, that Ordinary Shares will be considered readily tradable on an established securities market in later years or that that the Company will be eligible for the benefits of the Treaty. A U.S. holder will not be able to claim the reduced rate on dividends received from the Company if the Company is treated as a PFIC in the taxable year in which the dividends are received or in the preceding taxable year. See “— Passive Foreign Investment Company Rules” below.</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13" w:name="page114"/>
    <w:bookmarkEnd w:id="113"/>
    <w:p>
      <w:pPr>
        <w:jc w:val="both"/>
        <w:ind w:right="20" w:firstLine="574"/>
        <w:spacing w:after="0" w:line="306" w:lineRule="auto"/>
        <w:rPr>
          <w:sz w:val="20"/>
          <w:szCs w:val="20"/>
          <w:color w:val="auto"/>
        </w:rPr>
      </w:pPr>
      <w:r>
        <w:rPr>
          <w:rFonts w:ascii="Arial" w:cs="Arial" w:eastAsia="Arial" w:hAnsi="Arial"/>
          <w:sz w:val="14"/>
          <w:szCs w:val="14"/>
          <w:color w:val="auto"/>
        </w:rPr>
        <w:t>Subject to certain conditions and limitations, withholding taxes, if any, on dividends paid by the Company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 United States and will generally constitute passive category income. The rules governing the U.S. foreign tax credit are complex. U.S. holders should consult their tax advisors regarding the availability of the U.S. foreign tax credit under particular circumstances.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 Exchange, Redemption or Other Taxable Disposition of Ordinary Shares and Warrants</w:t>
      </w:r>
    </w:p>
    <w:p>
      <w:pPr>
        <w:spacing w:after="0" w:line="198"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Subject to the discussion below under “— Passive Foreign Investment Company Rules,” a U.S. holder generally will recognize gain or loss on any sale, exchange, redemption or other taxable disposition of 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or Warrants generally will be treated as U.S. source gain or loss. Therefore, a U.S. holder may have insufficient foreign source income to utilize foreign tax credits attributable to any Luxembourg withholding tax imposed on a sale, exchange, redemption or other taxable disposition. U.S. holders should consult their tax advisors as to the availability of and limitations on any foreign tax credit attributable to Luxembourg withholding tax.</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Exercise or Lapse of a Warrant</w:t>
      </w:r>
    </w:p>
    <w:p>
      <w:pPr>
        <w:spacing w:after="0" w:line="198"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Except as discussed below with respect to the cashless exercise of a Warrant, a U.S. holder generally will not recognize gain or loss upon the acquisition of an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138"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The tax consequences of a cashless exercise of a Warrant are not clear under current tax law. A cashless exercise may be tax-deferred, either because the exercise is not a gain realization event or because the exercise is treated as a recapitalization for U.S. federal income tax purposes. In either tax-deferred situation, a U.S. holder’s basis in the Ordinary Shares received would equal the holder’s basis in the Warrants exercised therefore. If the cashless exercise were treated as not being a gain realization event, a U.S. holder’s holding period in the Ordinary Shares would be treated as commencing on the date following the date of exercise (or possibly the date of exercise) of the Warrants. If the cashless exercise were treated as a recapitalization, the holding period of the Ordinary Shares would include the holding period of the Warrants exercised therefore.</w:t>
      </w:r>
    </w:p>
    <w:p>
      <w:pPr>
        <w:spacing w:after="0" w:line="170"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It is also possible that a cashless exercise of a Warrant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with respect to the surrendered warrants in an amount generally equal to the difference between (i) the fair market value of the Ordinary Shares that would have been received with respect to the surrendered warrants in a regular exercise of the Warrants and (ii) the sum of the U.S. holder’s tax basis in the surrendered warrants and the aggregate cash exercise price of such warrants (if they had been exercised in a regular exercise). In this case, a U.S. holder’s tax basis in the Ordinary Shares received would equal the U.S. holder’s tax basis in the Warrants exercised plus (or minus) the gain (or loss) recognized with respect to the surrendered warrants. A U.S. holder’s holding period for the Ordinary Shares would commence on the date following the date of exercise (or possibly the date of exercise) of the Warrants.</w:t>
      </w:r>
    </w:p>
    <w:p>
      <w:pPr>
        <w:spacing w:after="0" w:line="169"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tax advisors regarding the tax consequences of a cashless exercise of Warrants.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i w:val="1"/>
          <w:iCs w:val="1"/>
          <w:color w:val="auto"/>
        </w:rPr>
        <w:t>Possible Constructive Distributions</w:t>
      </w:r>
    </w:p>
    <w:p>
      <w:pPr>
        <w:spacing w:after="0" w:line="198"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The terms of each Warrant provide for an adjustment to the number of Ordinary Shares for which the Warrant may be exercised or to the exercise price of the Warrant in certain events. An adjustment which has the effect of preventing dilution generally is not taxable. A U.S. holder of a Warrant would, however, be treated as receiving a constructive distribution from the Company if, for example, the adjustment increases the holder’s proportionate interest in the Company’s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 Distributions on Ordinary Shares” above. Such constructive distribution would be subject to tax as described under that section in the same manner as if the U.S. holder of such warrant received a cash distribution from the Company equal to the fair market value of such increased interest.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Passive Foreign Investment Company Rules</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A non-U.S. corporation, such as the Company, will be PFIC for U.S. federal income tax purposes in any taxable year in which, after applying relevant look-through rules with respect to the income and assets of its subsidiaries, either (i) 75% or more of the corporation’s gross income is passive income, or (ii) 50% or more of the value of the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w:t>
      </w:r>
    </w:p>
    <w:p>
      <w:pPr>
        <w:spacing w:after="0" w:line="155"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Based on the expected composition of the Company’s gross assets (including unbooked goodwill as valued based on the market value of the Company’s equity) and income and the manner in which the Company expects to operate its business in future years, the Company does not expect to be classified as a PFIC for U.S. federal income tax purposes for the Company’s current taxable year or in the foreseeable future. Whether the Company is a PFIC is a factual determination made annually, and the Company’s status could change depending, among other things, upon changes in the composition and relative value of its gross receipts and assets, which may be determined by reference to the price of Ordinary Shares (which could fluctuate significantly). Based on its current operations, the Company’s unbooked goodwill (which it has valued based on the market value of its equity) may be attributable to the Company’s activities that generate active income and may be treated as an active asset. Because the Company has valued its goodwill based on the market value of its equity, a decrease in the price of Ordinary Shares may also result in the Company becoming a PFIC.</w:t>
      </w:r>
    </w:p>
    <w:p>
      <w:pPr>
        <w:spacing w:after="0" w:line="144"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If the Company were a PFIC in any year during which a U.S. holder owns Ordinary Shares, subject to the discussion below regarding the mark-to-market or QEF elections, a U.S. holder generally will be subject to special rules (regardless of whether the Company continues to be a PFIC) with respect to (i) any “excess distribution” (generally, any distributions received by a U.S. holder on its Ordinary Shares in a taxable year that are greater than 125% of the average annual distributions received by the U.S. holder in the three preceding taxable years or, if shorter, the U.S. holder’s holding period for the Ordinary Shares) and (ii) any gain realized on the sale or other disposition of Ordinary Shares. Under these rules (a) the excess distribution or gain will be allocated ratably over the U.S. holder’s holding period, (b) the amount allocated to the current taxable year and any taxable year prior to the first taxable year in which the Company is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 The application of the PFIC rules to U.S. holders of Warrants is unclear. Proposed Treasury Regulations issued under the PFIC rules generally treat an “option” (which would include a Warrant) to acquire the stock of a PFIC as stock of the PFIC. Therefore, it is possible that the proposed Treasury Regulations if finalized in their current form would apply to cause gain recognized on the disposition of Warrants to be subject to the excess distribution regime discussed above.</w:t>
      </w:r>
    </w:p>
    <w:p>
      <w:pPr>
        <w:spacing w:after="0" w:line="160" w:lineRule="exact"/>
        <w:rPr>
          <w:sz w:val="20"/>
          <w:szCs w:val="20"/>
          <w:color w:val="auto"/>
        </w:rPr>
      </w:pPr>
    </w:p>
    <w:p>
      <w:pPr>
        <w:jc w:val="both"/>
        <w:ind w:firstLine="574"/>
        <w:spacing w:after="0" w:line="252" w:lineRule="auto"/>
        <w:rPr>
          <w:sz w:val="20"/>
          <w:szCs w:val="20"/>
          <w:color w:val="auto"/>
        </w:rPr>
      </w:pPr>
      <w:r>
        <w:rPr>
          <w:rFonts w:ascii="Arial" w:cs="Arial" w:eastAsia="Arial" w:hAnsi="Arial"/>
          <w:sz w:val="16"/>
          <w:szCs w:val="16"/>
          <w:color w:val="auto"/>
        </w:rPr>
        <w:t>A U.S. holder may be able to avoid some of the adverse impacts of the PFIC rules described above by electing to mark the Ordinary Shares to market annually. The election is available only if the Ordinary Shares are considered “marketable stock,” which generally includes stock that is regularly traded in more than de minimis quantities on a qualifying exchange. If a U.S. holder makes the mark-to-market election, any gain from marking the Ordinary Shares to market or from disposing of them would be ordinary income. Any loss from marking the Ordinary Shares to market would be recognized only to the extent of unreversed gains previously included in income. Loss from marking the Ordinary Shares to market would be ordinary, but loss on disposing of them would be capital loss except to the extent of mark-to-market gains previously included in income. It is expected that Ordinary Shares, which are listed on Nasdaq, will qualify as marketable shares for the PFIC rules purposes. No assurance can be given that the Ordinary Shares will be traded in sufficient frequency and quantity to be considered “marketable stock.” A valid mark-to-market election cannot be revoked without the consent of the IRS unless the Ordinary Shares cease to be marketable stock. In addition, U.S. holders of Warrants will not be able to make a mark-to-market election with respect to their Warrants.</w:t>
      </w:r>
    </w:p>
    <w:p>
      <w:pPr>
        <w:spacing w:after="0" w:line="173"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 U.S. holder would not be able to avoid the tax consequences described above by electing to treat the Company as a QEF because the Company does not intend to provide U.S. holders with the information that would be necessary to make a QEF election with respect to the Ordinary Shares. In any event, U.S. holders of Warrants will not be able to make a QEF election with respect to their warrants.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15" w:name="page116"/>
    <w:bookmarkEnd w:id="115"/>
    <w:p>
      <w:pPr>
        <w:jc w:val="both"/>
        <w:ind w:left="4" w:firstLine="574"/>
        <w:spacing w:after="0" w:line="258" w:lineRule="auto"/>
        <w:rPr>
          <w:sz w:val="20"/>
          <w:szCs w:val="20"/>
          <w:color w:val="auto"/>
        </w:rPr>
      </w:pPr>
      <w:r>
        <w:rPr>
          <w:rFonts w:ascii="Arial" w:cs="Arial" w:eastAsia="Arial" w:hAnsi="Arial"/>
          <w:sz w:val="16"/>
          <w:szCs w:val="16"/>
          <w:color w:val="auto"/>
        </w:rPr>
        <w:t>A U.S. holder that owns (or is deemed to own) shares in a PFIC during any taxable year of the U.S. holder generally is required to file an IRS Form 8621 (whether or not a QEF or mark-to-market election is or has been made) with such U.S. holder’s U.S. federal income tax return and provide such other information as may be required by the U.S. Treasury Department. Failure to file IRS Form 8621 for each applicable taxable year may result in substantial penalties and result in the U.S. holder’s taxable years being open to audit by the IRS until such Forms are properly filed.</w:t>
      </w:r>
    </w:p>
    <w:p>
      <w:pPr>
        <w:spacing w:after="0" w:line="165"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U.S. holders should consult their own tax advisors concerning the Company’s possible PFIC status and the consequences to them, including potential reporting requirements, if the Company were classified as a PFIC for any taxable year.</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Information Reporting and Backup Withholding</w:t>
      </w:r>
    </w:p>
    <w:p>
      <w:pPr>
        <w:spacing w:after="0" w:line="202"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may apply to such amounts if the U.S. holder fails to provide an accurate taxpayer identification number (generally on an IRS Form W-9 provided to the paying agent of the U.S. holder’s broker) or is otherwise subject to backup withholding.</w:t>
      </w:r>
    </w:p>
    <w:p>
      <w:pPr>
        <w:spacing w:after="0" w:line="165"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Backup withholding is not an additional tax. Amounts withheld as backup withholding may be credited against the U.S. holder’s U.S. federal income tax liability, and a U.S. holder may obtain a refund of any excess amounts withheld under the backup withholding rules by timely filing the appropriate claim for a refund with the IRS and furnishing any required information.</w:t>
      </w:r>
    </w:p>
    <w:p>
      <w:pPr>
        <w:spacing w:after="0" w:line="162"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Certain U.S. holders are required to report information with respect to Ordinary Shares and Warrants not held through an account with a domestic financial institution to the IRS. U.S. holders that fail to report required information could become subject to substantial penalties. U.S. holders should consult their tax advisors regarding these rules and any other reporting obligations that may apply to the ownership or disposition of Ordinary Shares or Warrants.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 DIVIDENDS AND PAYING AGENTS.</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G. STATEMENT BY EXPERTS</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H. DOCUMENTS ON DISPLAY</w:t>
      </w:r>
    </w:p>
    <w:p>
      <w:pPr>
        <w:spacing w:after="0" w:line="202"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5"/>
          <w:szCs w:val="15"/>
          <w:color w:val="auto"/>
        </w:rPr>
        <w:t>The Company makes its filings in electronic form under the EDGAR filing system of the SEC. Its filings are available through the EDGAR system at www.sec.gov. The Company’s filings are also available to the public through the Internet at Procaps’ website at https://investor.procapsgroup.com/. Such filings and other information on its website are not incorporated by reference in this Annual Report. Interested parties may request a copy of this filing, and any other report, at no cost, by writing to the Company at the following address: Procaps Group, S.A. – 9 rue de Bitbourg, L-1273, Luxembourg, Grand Duchy of Luxembourg.</w:t>
      </w:r>
    </w:p>
    <w:p>
      <w:pPr>
        <w:spacing w:after="0" w:line="147" w:lineRule="exact"/>
        <w:rPr>
          <w:sz w:val="20"/>
          <w:szCs w:val="20"/>
          <w:color w:val="auto"/>
        </w:rPr>
      </w:pPr>
    </w:p>
    <w:p>
      <w:pPr>
        <w:ind w:left="564" w:right="8920" w:hanging="564"/>
        <w:spacing w:after="0" w:line="498" w:lineRule="auto"/>
        <w:tabs>
          <w:tab w:leader="none" w:pos="15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11. QUANTITATIVE AND QUALITATIVE DISCLOSURES REGARDING MARKET RISK</w:t>
      </w:r>
    </w:p>
    <w:p>
      <w:pPr>
        <w:spacing w:after="0" w:line="202"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We are exposed to cash flow and earnings fluctuations as a result of certain market risks. These market risks primarily relate to changes in interest rates and foreign exchange rate changes.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Interest Rate Risk</w:t>
      </w:r>
    </w:p>
    <w:p>
      <w:pPr>
        <w:spacing w:after="0" w:line="202" w:lineRule="exact"/>
        <w:rPr>
          <w:sz w:val="20"/>
          <w:szCs w:val="20"/>
          <w:color w:val="auto"/>
        </w:rPr>
      </w:pPr>
    </w:p>
    <w:p>
      <w:pPr>
        <w:jc w:val="both"/>
        <w:ind w:left="4" w:firstLine="574"/>
        <w:spacing w:after="0" w:line="253" w:lineRule="auto"/>
        <w:rPr>
          <w:sz w:val="20"/>
          <w:szCs w:val="20"/>
          <w:color w:val="auto"/>
        </w:rPr>
      </w:pPr>
      <w:r>
        <w:rPr>
          <w:rFonts w:ascii="Arial" w:cs="Arial" w:eastAsia="Arial" w:hAnsi="Arial"/>
          <w:sz w:val="16"/>
          <w:szCs w:val="16"/>
          <w:color w:val="auto"/>
        </w:rPr>
        <w:t>Procaps is exposed to risks in interest rates because it borrows money at both fixed and variable interest rates. Procaps manages this risk by constantly monitoring the macroeconomic variables that determine the variation of the interest rates and to the extent possible, incurring an appropriate combination between fixed rate and the variable rate loan financing. At the end of each reporting period a sensitivity analysis is performed for interest rates determined for financial obligations at the Colombian Depósitos Termino Fijo (Fixed Term Deposit Rate, or “DTF”), the Colombian Indicador Bancario de Referencia (Indicative Benchmark Interest Rate, or “IBR”) and the London Inter-bank Offered Rate (“LIBOR”) at the end of the reporting period, raising awareness of an increase or a decrease of 100 points, which represents management’s assessment of the possible reasonable change in interest rates. For the years ended December 31, 2021, 2020 and 2019, the impact of these potential interest rate variations was deemed to be immaterial to our financial results.</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auto"/>
        </w:rPr>
        <w:t>Inflation Risk</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Inflation for the three most recent years has not had a material impact on Procaps’ net sales or net profit.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202" w:lineRule="exact"/>
        <w:rPr>
          <w:sz w:val="20"/>
          <w:szCs w:val="20"/>
          <w:color w:val="auto"/>
        </w:rPr>
      </w:pPr>
    </w:p>
    <w:p>
      <w:pPr>
        <w:jc w:val="both"/>
        <w:ind w:right="20" w:firstLine="574"/>
        <w:spacing w:after="0" w:line="272" w:lineRule="auto"/>
        <w:rPr>
          <w:sz w:val="20"/>
          <w:szCs w:val="20"/>
          <w:color w:val="auto"/>
        </w:rPr>
      </w:pPr>
      <w:r>
        <w:rPr>
          <w:rFonts w:ascii="Arial" w:cs="Arial" w:eastAsia="Arial" w:hAnsi="Arial"/>
          <w:sz w:val="15"/>
          <w:szCs w:val="15"/>
          <w:color w:val="auto"/>
        </w:rPr>
        <w:t>Due to the nature of our global operations, we are exposed to cash flow and earnings fluctuations resulting from foreign exchange-rate variation. These exposures are transactional and translational in nature. Since we manufacture and sell our products throughout the world, our foreign-currency risk is diversified. Principal drivers of this diversified foreign-exchange exposure include the Colombia Peso, Brazilian Real, and the Peruvian Soles. Approximately 41% of our revenue for the year ended December 31, 2021 was U.S. dollar denominated. Our transactional exposure arises from the purchase and sale of goods and services in currencies other than the functional currency of our operational units. The financial statements of our operations outside of the United States are measured using the local currency as the functional currency. Adjustments to translate the assets and liabilities of these foreign operations in Colombian Pesos, Brazilian Reais and the Peruvian Soles are accumulated as a component of other comprehensive income/(loss) utilizing period-end exchange rates. Foreign-currency transaction gains and losses calculated by utilizing weighted average exchange rates for the period are included in the statements of operations in other (income)/expense, net.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DESCRIPTION OF SECURITIES OTHER THAN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DEBT SECURITIES</w:t>
      </w:r>
    </w:p>
    <w:p>
      <w:pPr>
        <w:spacing w:after="0" w:line="202" w:lineRule="exact"/>
        <w:rPr>
          <w:sz w:val="20"/>
          <w:szCs w:val="20"/>
          <w:color w:val="auto"/>
        </w:rPr>
      </w:pPr>
    </w:p>
    <w:p>
      <w:pPr>
        <w:jc w:val="center"/>
        <w:ind w:right="914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WARRANTS AND RIGHTS</w:t>
      </w:r>
    </w:p>
    <w:p>
      <w:pPr>
        <w:spacing w:after="0" w:line="20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Pursuant to the Warrant Amendment, Union assigned to the Company all of Union’s right, title and interest in the Warrant Agreement and the Company assumed, and agreed to pay, perform, satisfy and discharge in full, as the same become due, all of Union’s liabilities and obligations under the Warrant Agreement arising from and after the Merger Effective Time.</w:t>
      </w:r>
    </w:p>
    <w:p>
      <w:pPr>
        <w:spacing w:after="0" w:line="162" w:lineRule="exact"/>
        <w:rPr>
          <w:sz w:val="20"/>
          <w:szCs w:val="20"/>
          <w:color w:val="auto"/>
        </w:rPr>
      </w:pPr>
    </w:p>
    <w:p>
      <w:pPr>
        <w:jc w:val="both"/>
        <w:ind w:firstLine="574"/>
        <w:spacing w:after="0" w:line="252" w:lineRule="auto"/>
        <w:rPr>
          <w:sz w:val="20"/>
          <w:szCs w:val="20"/>
          <w:color w:val="auto"/>
        </w:rPr>
      </w:pPr>
      <w:r>
        <w:rPr>
          <w:rFonts w:ascii="Arial" w:cs="Arial" w:eastAsia="Arial" w:hAnsi="Arial"/>
          <w:sz w:val="16"/>
          <w:szCs w:val="16"/>
          <w:color w:val="auto"/>
        </w:rPr>
        <w:t>Each Warrant is exercisable for one Ordinary Share and only whole warrants are exercisable. The exercise price of the Warrants is $11.50 per share, subject to adjustment as described in the Warrant Agreement. A Warrant may be exercised only during the period commencing on the date of the consummation of the Business Combination, and terminating at 5:00 p.m., New York City time on the earlier to occur of: (x) the date that is five (5) years after the date the Business Combination was completed, (y) the redemption date as provided in Section 6.2 of the Warrant Agreement, or (z) the liquidation of the Company. Redemptions of warrants for cash pursuant to the Warrant Agreement, once the Public Warrants become exercisable, may be redeemed (i) in whole and not in part, (ii) at a price of $0.01 per warrant, (iii) upon not less than 30 days’ prior written notice of redemption to each warrant holder, and (iv) if, and only if, the reported last sale price of the Ordinary Shares equals or exceeds $18.00 per share for any 20 trading days within a 30-trading day period ending three business days before sending the notice of redemption to each warrant holder. If the Public Warrants are called for redemption for cash, management will have the option to require all holders that wish to exercise the Public Warrants to do so on a “cashless basis,” as described in the Warrant Agreement.</w:t>
      </w:r>
    </w:p>
    <w:p>
      <w:pPr>
        <w:spacing w:after="0" w:line="173"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The Private Placement Warrants are identical to the Public Warrants, except that the Private Placement Warrants and the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mentioned above) so long as they are held by the initial purchasers or their permitted transferees. If the Private Placement Warrants are held by someone other than the initial purchasers or their permitted transferees, the Private Placement Warrants will be redeemable and exercisable by such holders on the same basis as the Public Warrants.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OTHER SECURITIES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17" w:name="page118"/>
    <w:bookmarkEnd w:id="117"/>
    <w:p>
      <w:pPr>
        <w:ind w:left="4"/>
        <w:spacing w:after="0"/>
        <w:rPr>
          <w:sz w:val="20"/>
          <w:szCs w:val="20"/>
          <w:color w:val="auto"/>
        </w:rPr>
      </w:pPr>
      <w:r>
        <w:rPr>
          <w:rFonts w:ascii="Arial" w:cs="Arial" w:eastAsia="Arial" w:hAnsi="Arial"/>
          <w:sz w:val="16"/>
          <w:szCs w:val="16"/>
          <w:b w:val="1"/>
          <w:bCs w:val="1"/>
          <w:color w:val="auto"/>
        </w:rPr>
        <w:t>D. AMERICAN DEPOSITARY SHARES</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13. DEFAULTS, DIVIDEND ARREARAGES AND DELINQUENCIES</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14. MATERIAL MODIFICATIONS TO THE RIGHTS OF SECURITY HOLDERS AND USE OF PROCEEDS</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15. CONTROLS AND PROCEDURES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 DISCLOSURE CONTROLS AND PROCEDURES</w:t>
      </w:r>
    </w:p>
    <w:p>
      <w:pPr>
        <w:spacing w:after="0" w:line="202" w:lineRule="exact"/>
        <w:rPr>
          <w:sz w:val="20"/>
          <w:szCs w:val="20"/>
          <w:color w:val="auto"/>
        </w:rPr>
      </w:pPr>
    </w:p>
    <w:p>
      <w:pPr>
        <w:jc w:val="both"/>
        <w:ind w:left="4" w:right="20" w:firstLine="574"/>
        <w:spacing w:after="0" w:line="276" w:lineRule="auto"/>
        <w:rPr>
          <w:sz w:val="20"/>
          <w:szCs w:val="20"/>
          <w:color w:val="auto"/>
        </w:rPr>
      </w:pPr>
      <w:r>
        <w:rPr>
          <w:rFonts w:ascii="Arial" w:cs="Arial" w:eastAsia="Arial" w:hAnsi="Arial"/>
          <w:sz w:val="15"/>
          <w:szCs w:val="15"/>
          <w:color w:val="auto"/>
        </w:rPr>
        <w:t>Our management, under the supervision and with the participation of our Chief Executive Officer and Chief Financial Officer, has evaluated the effectiveness of our disclosure controls and procedures (as such term is defined in Rules 13a-15(e) and 15d-15(e) under the Exchange Act and regulations promulgated thereunder) as of the end of the fiscal year covered by this annual report. Based on such evaluation, our Chief Executive Officer and Chief Financial Officer have concluded that, as of December 31, 2021, our disclosure controls and procedures were not effective to ensure that all information required to be disclosed by us in the reports that we file or submit under the Exchange Act is effective, due to the material weaknesses in our internal control over financial reporting described below.</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 MANAGEMENT’S ANNUAL ASSESSMENT ON INTERNAL CONTROL OVER FINANCIAL REPORTING</w:t>
      </w:r>
    </w:p>
    <w:p>
      <w:pPr>
        <w:spacing w:after="0" w:line="202"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This annual report does not include a report of management’s assessment of internal control over financial reporting due to a transition period established by the rules of the SEC for newly public companies.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Material Weaknesses in Internal Control Over Financial Reporting</w:t>
      </w:r>
    </w:p>
    <w:p>
      <w:pPr>
        <w:spacing w:after="0" w:line="202"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52" w:lineRule="exact"/>
        <w:rPr>
          <w:sz w:val="20"/>
          <w:szCs w:val="20"/>
          <w:color w:val="auto"/>
        </w:rPr>
      </w:pPr>
    </w:p>
    <w:p>
      <w:pPr>
        <w:jc w:val="both"/>
        <w:ind w:left="4" w:firstLine="574"/>
        <w:spacing w:after="0" w:line="291" w:lineRule="auto"/>
        <w:rPr>
          <w:sz w:val="20"/>
          <w:szCs w:val="20"/>
          <w:color w:val="auto"/>
        </w:rPr>
      </w:pPr>
      <w:r>
        <w:rPr>
          <w:rFonts w:ascii="Arial" w:cs="Arial" w:eastAsia="Arial" w:hAnsi="Arial"/>
          <w:sz w:val="14"/>
          <w:szCs w:val="14"/>
          <w:color w:val="auto"/>
        </w:rPr>
        <w:t>In connection with the audit of our Annual Audited Consolidated Financial Statements, we identified material weaknesses in our internal controls related to (i) our manual consolidation process which lacks the appropriate internal controls to prevent or detect material misstatements in a timely manner and to ensure that financial data recorded was complete and accurate, (ii) our information technology controls not being sufficiently designed and implemented to address certain information technology risks,</w:t>
      </w:r>
    </w:p>
    <w:p>
      <w:pPr>
        <w:spacing w:after="0" w:line="1" w:lineRule="exact"/>
        <w:rPr>
          <w:sz w:val="20"/>
          <w:szCs w:val="20"/>
          <w:color w:val="auto"/>
        </w:rPr>
      </w:pPr>
    </w:p>
    <w:p>
      <w:pPr>
        <w:jc w:val="both"/>
        <w:ind w:left="4" w:right="20" w:hanging="4"/>
        <w:spacing w:after="0" w:line="285" w:lineRule="auto"/>
        <w:tabs>
          <w:tab w:leader="none" w:pos="291"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sufficiency of technical accounting resources with an appropriate level of technical experience required for timely and accurate financial reporting in accordance with IFRS, (iv) lack of system controls and effective processes to ensure that all manual journal entries are properly reviewed and approved prior to posting to the general ledger, and</w:t>
      </w:r>
    </w:p>
    <w:p>
      <w:pPr>
        <w:jc w:val="both"/>
        <w:ind w:left="4" w:right="20" w:hanging="4"/>
        <w:spacing w:after="0" w:line="271" w:lineRule="auto"/>
        <w:tabs>
          <w:tab w:leader="none" w:pos="244" w:val="left"/>
        </w:tabs>
        <w:numPr>
          <w:ilvl w:val="0"/>
          <w:numId w:val="59"/>
        </w:numPr>
        <w:rPr>
          <w:rFonts w:ascii="Arial" w:cs="Arial" w:eastAsia="Arial" w:hAnsi="Arial"/>
          <w:sz w:val="15"/>
          <w:szCs w:val="15"/>
          <w:color w:val="auto"/>
        </w:rPr>
      </w:pPr>
      <w:r>
        <w:rPr>
          <w:rFonts w:ascii="Arial" w:cs="Arial" w:eastAsia="Arial" w:hAnsi="Arial"/>
          <w:sz w:val="15"/>
          <w:szCs w:val="15"/>
          <w:color w:val="auto"/>
        </w:rPr>
        <w:t xml:space="preserve">our monitoring activities not being effective to ascertain whether the components of our internal control are present and functioning. Certain of the material weaknesses identified above contributed to the misclassification of certain of our factoring and reverse factoring arrangements as </w:t>
      </w:r>
      <w:r>
        <w:rPr>
          <w:rFonts w:ascii="Arial" w:cs="Arial" w:eastAsia="Arial" w:hAnsi="Arial"/>
          <w:sz w:val="15"/>
          <w:szCs w:val="15"/>
          <w:i w:val="1"/>
          <w:iCs w:val="1"/>
          <w:color w:val="auto"/>
        </w:rPr>
        <w:t>Trade and other payables (current)</w:t>
      </w:r>
      <w:r>
        <w:rPr>
          <w:rFonts w:ascii="Arial" w:cs="Arial" w:eastAsia="Arial" w:hAnsi="Arial"/>
          <w:sz w:val="15"/>
          <w:szCs w:val="15"/>
          <w:color w:val="auto"/>
        </w:rPr>
        <w:t xml:space="preserve"> instead of </w:t>
      </w:r>
      <w:r>
        <w:rPr>
          <w:rFonts w:ascii="Arial" w:cs="Arial" w:eastAsia="Arial" w:hAnsi="Arial"/>
          <w:sz w:val="15"/>
          <w:szCs w:val="15"/>
          <w:i w:val="1"/>
          <w:iCs w:val="1"/>
          <w:color w:val="auto"/>
        </w:rPr>
        <w:t>Borrowings</w:t>
      </w:r>
      <w:r>
        <w:rPr>
          <w:rFonts w:ascii="Arial" w:cs="Arial" w:eastAsia="Arial" w:hAnsi="Arial"/>
          <w:sz w:val="15"/>
          <w:szCs w:val="15"/>
          <w:color w:val="auto"/>
        </w:rPr>
        <w:t xml:space="preserve"> </w:t>
      </w:r>
      <w:r>
        <w:rPr>
          <w:rFonts w:ascii="Arial" w:cs="Arial" w:eastAsia="Arial" w:hAnsi="Arial"/>
          <w:sz w:val="15"/>
          <w:szCs w:val="15"/>
          <w:i w:val="1"/>
          <w:iCs w:val="1"/>
          <w:color w:val="auto"/>
        </w:rPr>
        <w:t>(current)</w:t>
      </w:r>
      <w:r>
        <w:rPr>
          <w:rFonts w:ascii="Arial" w:cs="Arial" w:eastAsia="Arial" w:hAnsi="Arial"/>
          <w:sz w:val="15"/>
          <w:szCs w:val="15"/>
          <w:color w:val="auto"/>
        </w:rPr>
        <w:t>, resulting in a misstatement in our consolidated statement of financial position as of December 31, 2020 and January 1, 2020, and in our statement of cash flows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years ended December 31, 2020 and 2019. For more information on the misclassification of certain of our factoring and reverse factoring arrangements, see under the heading “Certain Conventions ––Restatement of Previously Issued Financial Statements” in this annual report and Note 2.4 “Restatement of Previously Issued Financial Statements” to the Annual Audited Consolidated Financial Statements included elsewhere in this annual report.</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color w:val="auto"/>
        </w:rPr>
        <w:t>Remediation Efforts</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We have begun the process of, and we are focused on, designing and implementing effective internal control measures to improve our internal control over financial reporting and remediate the material weaknesses. As we continue to evaluate and implement improvements to our internal control over financial reporting, our senior management may decide to take additional measures to address our control deficiencies or to improve the remediation efforts described in this annual report. Our remediation efforts include the following:</w:t>
      </w:r>
    </w:p>
    <w:p>
      <w:pPr>
        <w:spacing w:after="0" w:line="165" w:lineRule="exact"/>
        <w:rPr>
          <w:sz w:val="20"/>
          <w:szCs w:val="20"/>
          <w:color w:val="auto"/>
        </w:rPr>
      </w:pPr>
    </w:p>
    <w:p>
      <w:pPr>
        <w:jc w:val="both"/>
        <w:ind w:left="860" w:hanging="291"/>
        <w:spacing w:after="0" w:line="280" w:lineRule="auto"/>
        <w:tabs>
          <w:tab w:leader="none" w:pos="860"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Manual Consolidation</w:t>
      </w:r>
      <w:r>
        <w:rPr>
          <w:rFonts w:ascii="Arial" w:cs="Arial" w:eastAsia="Arial" w:hAnsi="Arial"/>
          <w:sz w:val="15"/>
          <w:szCs w:val="15"/>
          <w:color w:val="auto"/>
        </w:rPr>
        <w:t>: We are implementing actions to mitigate the risk of material weaknesses in the process of manual consolidation of financial statements, these actions include, among others, the implementation of a software that supports the consolidation process, manual, and automatic controls to ensure integrity and accuracy of our financial consolidated information. In addition, we intend to include monitoring controls to validate the proper execution of the controls associated with the corporate standardization of accounting closing and financial reporting consolidation process.</w:t>
      </w:r>
    </w:p>
    <w:p>
      <w:pPr>
        <w:spacing w:after="0" w:line="151" w:lineRule="exact"/>
        <w:rPr>
          <w:rFonts w:ascii="Arial" w:cs="Arial" w:eastAsia="Arial" w:hAnsi="Arial"/>
          <w:sz w:val="15"/>
          <w:szCs w:val="15"/>
          <w:color w:val="auto"/>
        </w:rPr>
      </w:pPr>
    </w:p>
    <w:p>
      <w:pPr>
        <w:jc w:val="both"/>
        <w:ind w:left="860" w:right="20" w:hanging="291"/>
        <w:spacing w:after="0" w:line="262" w:lineRule="auto"/>
        <w:tabs>
          <w:tab w:leader="none" w:pos="86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Information Technology Controls</w:t>
      </w:r>
      <w:r>
        <w:rPr>
          <w:rFonts w:ascii="Arial" w:cs="Arial" w:eastAsia="Arial" w:hAnsi="Arial"/>
          <w:sz w:val="16"/>
          <w:szCs w:val="16"/>
          <w:color w:val="auto"/>
        </w:rPr>
        <w:t>: We have designed remediation activities regarding information technology weakness which are being implemented, including actions to strengthen our internal control system and procedures associated with access controls, information technology security and operation, change management and segregation of duties.</w:t>
      </w:r>
    </w:p>
    <w:p>
      <w:pPr>
        <w:spacing w:after="0" w:line="162" w:lineRule="exact"/>
        <w:rPr>
          <w:rFonts w:ascii="Arial" w:cs="Arial" w:eastAsia="Arial" w:hAnsi="Arial"/>
          <w:sz w:val="16"/>
          <w:szCs w:val="16"/>
          <w:color w:val="auto"/>
        </w:rPr>
      </w:pPr>
    </w:p>
    <w:p>
      <w:pPr>
        <w:jc w:val="both"/>
        <w:ind w:left="860" w:hanging="291"/>
        <w:spacing w:after="0" w:line="280" w:lineRule="auto"/>
        <w:tabs>
          <w:tab w:leader="none" w:pos="860"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Technical Accounting Resources</w:t>
      </w:r>
      <w:r>
        <w:rPr>
          <w:rFonts w:ascii="Arial" w:cs="Arial" w:eastAsia="Arial" w:hAnsi="Arial"/>
          <w:sz w:val="15"/>
          <w:szCs w:val="15"/>
          <w:color w:val="auto"/>
        </w:rPr>
        <w:t>: We are recruiting additional personnel in our finance and accounting organization to ensure that we have a sufficient complement of personnel with the appropriate level of knowledge and experience to prepare the financial statement in compliance with IFRS. In addition, we are implementing controls to review estimates and significant accounting transactions to improve the integrity and accuracy, as well as strengthening the skills and knowledge of our staff, in connection with the implementation of the controls required by the Sarbanes Oxley Act of 2002.</w:t>
      </w:r>
    </w:p>
    <w:p>
      <w:pPr>
        <w:spacing w:after="0" w:line="151" w:lineRule="exact"/>
        <w:rPr>
          <w:rFonts w:ascii="Arial" w:cs="Arial" w:eastAsia="Arial" w:hAnsi="Arial"/>
          <w:sz w:val="15"/>
          <w:szCs w:val="15"/>
          <w:color w:val="auto"/>
        </w:rPr>
      </w:pPr>
    </w:p>
    <w:p>
      <w:pPr>
        <w:jc w:val="both"/>
        <w:ind w:left="860" w:right="20" w:hanging="291"/>
        <w:spacing w:after="0" w:line="262" w:lineRule="auto"/>
        <w:tabs>
          <w:tab w:leader="none" w:pos="86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Journal Entries</w:t>
      </w:r>
      <w:r>
        <w:rPr>
          <w:rFonts w:ascii="Arial" w:cs="Arial" w:eastAsia="Arial" w:hAnsi="Arial"/>
          <w:sz w:val="16"/>
          <w:szCs w:val="16"/>
          <w:color w:val="auto"/>
        </w:rPr>
        <w:t>: We are designing and implementing procedures over the preparation and review of journal entries to establish that manual journal entries are properly prepared, supported by adequate documentation, and independently reviewed and approved. We also plan to train our accounting staff to develop a comprehensive understanding of our journal entry policies and review protocols including evidence of review.</w:t>
      </w:r>
    </w:p>
    <w:p>
      <w:pPr>
        <w:spacing w:after="0" w:line="162" w:lineRule="exact"/>
        <w:rPr>
          <w:rFonts w:ascii="Arial" w:cs="Arial" w:eastAsia="Arial" w:hAnsi="Arial"/>
          <w:sz w:val="16"/>
          <w:szCs w:val="16"/>
          <w:color w:val="auto"/>
        </w:rPr>
      </w:pPr>
    </w:p>
    <w:p>
      <w:pPr>
        <w:jc w:val="both"/>
        <w:ind w:left="860" w:right="20" w:hanging="291"/>
        <w:spacing w:after="0" w:line="287" w:lineRule="auto"/>
        <w:tabs>
          <w:tab w:leader="none" w:pos="860"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Monitoring Activities</w:t>
      </w:r>
      <w:r>
        <w:rPr>
          <w:rFonts w:ascii="Arial" w:cs="Arial" w:eastAsia="Arial" w:hAnsi="Arial"/>
          <w:sz w:val="15"/>
          <w:szCs w:val="15"/>
          <w:color w:val="auto"/>
        </w:rPr>
        <w:t>: We have designed actions that are currently being implemented to strengthen the monitoring activities of our internal controls. These actions include, among others, the design of risk and control matrices for the key processes and entity-level controls, focus on monitoring controls, establishing a committee to review Sarbanes Oxley Act of 2002 related compliance matters and strengthen our Audit Committee.</w:t>
      </w:r>
    </w:p>
    <w:p>
      <w:pPr>
        <w:spacing w:after="0" w:line="146"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However, we cannot be certain that the measures we have taken or may take in the future will ensure that we will establish and maintain adequate controls over our financial processes and reporting in the future. The material weakness will not be considered remediated, however, until the applicable controls operate for a sufficient period of time and management has concluded, through testing, that these controls are operating effectively.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ATTESTATION REPORT OF THE REGISTERED PUBLIC ACCOUNTING FIRM</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This annual report does not include an attestation report of the Company’s independent registered public accounting firm due to a transition period established by the rules of the SEC for newly public companies.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CHANGES IN INTERNAL CONTROL OVER FINANCIAL REPORTING</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Except for the activities described under the heading “Management’s Annual Assessment on Internal Control Over Financial Reporting” above, during the period covered under this annual report, there have not been any changes in our internal control over financial reporting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RESERVED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16A. AUDIT COMMITTEE FINANCIAL EXPERT</w:t>
      </w:r>
    </w:p>
    <w:p>
      <w:pPr>
        <w:spacing w:after="0" w:line="202" w:lineRule="exact"/>
        <w:rPr>
          <w:sz w:val="20"/>
          <w:szCs w:val="20"/>
          <w:color w:val="auto"/>
        </w:rPr>
      </w:pPr>
    </w:p>
    <w:p>
      <w:pPr>
        <w:ind w:right="260" w:firstLine="574"/>
        <w:spacing w:after="0" w:line="349" w:lineRule="auto"/>
        <w:rPr>
          <w:sz w:val="20"/>
          <w:szCs w:val="20"/>
          <w:color w:val="auto"/>
        </w:rPr>
      </w:pPr>
      <w:r>
        <w:rPr>
          <w:rFonts w:ascii="Arial" w:cs="Arial" w:eastAsia="Arial" w:hAnsi="Arial"/>
          <w:sz w:val="14"/>
          <w:szCs w:val="14"/>
          <w:color w:val="auto"/>
        </w:rPr>
        <w:t>See Item 6.C above under the heading “Board Practices—Board Committees—Audit Committee” of this annual report. Each member of our audit committee is financially literate and our Board of Directors has determined that Mr. David Yanovich qualifies as an “audit committee financial expert” as defined in applicable SEC rules.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16B. CODE OF ETHICS</w:t>
      </w:r>
    </w:p>
    <w:p>
      <w:pPr>
        <w:spacing w:after="0" w:line="202"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Our Board of Directors adopted a Code of Ethics applicable to our directors, executive officers and team members that complies with the rules and regulations of Nasdaq and the SEC. The Code of Ethics is available on the Company’s website. In addition, the Company has posted on the Corporate Governance section of its website all disclosures that are required by law or Nasdaq listing standards concerning any amendments to, or waivers from, any provision of the Code of Ethics. The reference to the Company’s website address in this annual report does not include or incorporate by reference the information on the Company’s website into this annual report.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color w:val="auto"/>
        </w:rPr>
        <w:t>ITEM 16C. PRINCIPAL ACCOUNTANT FEES AND SERVICES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Fees Paid to the Company’s Principal Accountant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2021, Deloitte &amp; Touche Ltda. served as the principal external auditor for the Company. Fees paid to Deloitte &amp; Touche Ltda. in 2021 and 2020 are detailed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80" w:type="dxa"/>
            <w:vAlign w:val="bottom"/>
          </w:tcPr>
          <w:p>
            <w:pPr>
              <w:spacing w:after="0"/>
              <w:rPr>
                <w:sz w:val="16"/>
                <w:szCs w:val="16"/>
                <w:color w:val="auto"/>
              </w:rPr>
            </w:pPr>
          </w:p>
        </w:tc>
        <w:tc>
          <w:tcPr>
            <w:tcW w:w="2200" w:type="dxa"/>
            <w:vAlign w:val="bottom"/>
            <w:gridSpan w:val="4"/>
          </w:tcPr>
          <w:p>
            <w:pPr>
              <w:jc w:val="center"/>
              <w:ind w:left="140"/>
              <w:spacing w:after="0"/>
              <w:rPr>
                <w:sz w:val="20"/>
                <w:szCs w:val="20"/>
                <w:color w:val="auto"/>
              </w:rPr>
            </w:pPr>
            <w:r>
              <w:rPr>
                <w:rFonts w:ascii="Arial" w:cs="Arial" w:eastAsia="Arial" w:hAnsi="Arial"/>
                <w:sz w:val="16"/>
                <w:szCs w:val="16"/>
                <w:b w:val="1"/>
                <w:bCs w:val="1"/>
                <w:color w:val="auto"/>
                <w:w w:val="91"/>
              </w:rPr>
              <w:t>For the Year Ended</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86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86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2200" w:type="dxa"/>
            <w:vAlign w:val="bottom"/>
            <w:gridSpan w:val="4"/>
          </w:tcPr>
          <w:p>
            <w:pPr>
              <w:jc w:val="center"/>
              <w:ind w:left="180"/>
              <w:spacing w:after="0"/>
              <w:rPr>
                <w:sz w:val="20"/>
                <w:szCs w:val="20"/>
                <w:color w:val="auto"/>
              </w:rPr>
            </w:pPr>
            <w:r>
              <w:rPr>
                <w:rFonts w:ascii="Arial" w:cs="Arial" w:eastAsia="Arial" w:hAnsi="Arial"/>
                <w:sz w:val="16"/>
                <w:szCs w:val="16"/>
                <w:color w:val="auto"/>
                <w:w w:val="92"/>
              </w:rPr>
              <w:t>(</w:t>
            </w:r>
            <w:r>
              <w:rPr>
                <w:rFonts w:ascii="Arial" w:cs="Arial" w:eastAsia="Arial" w:hAnsi="Arial"/>
                <w:sz w:val="16"/>
                <w:szCs w:val="16"/>
                <w:i w:val="1"/>
                <w:iCs w:val="1"/>
                <w:color w:val="auto"/>
                <w:w w:val="92"/>
              </w:rPr>
              <w:t>in thousands of U.S. dollars</w:t>
            </w:r>
            <w:r>
              <w:rPr>
                <w:rFonts w:ascii="Arial" w:cs="Arial" w:eastAsia="Arial" w:hAnsi="Arial"/>
                <w:sz w:val="16"/>
                <w:szCs w:val="16"/>
                <w:color w:val="auto"/>
                <w:w w:val="92"/>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9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Audit fees</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4,724</w:t>
            </w:r>
          </w:p>
        </w:tc>
        <w:tc>
          <w:tcPr>
            <w:tcW w:w="8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755</w:t>
            </w:r>
          </w:p>
        </w:tc>
      </w:tr>
      <w:tr>
        <w:trPr>
          <w:trHeight w:val="191"/>
        </w:trPr>
        <w:tc>
          <w:tcPr>
            <w:tcW w:w="9420" w:type="dxa"/>
            <w:vAlign w:val="bottom"/>
            <w:gridSpan w:val="2"/>
          </w:tcPr>
          <w:p>
            <w:pPr>
              <w:spacing w:after="0"/>
              <w:rPr>
                <w:sz w:val="20"/>
                <w:szCs w:val="20"/>
                <w:color w:val="auto"/>
              </w:rPr>
            </w:pPr>
            <w:r>
              <w:rPr>
                <w:rFonts w:ascii="Arial" w:cs="Arial" w:eastAsia="Arial" w:hAnsi="Arial"/>
                <w:sz w:val="16"/>
                <w:szCs w:val="16"/>
                <w:color w:val="auto"/>
              </w:rPr>
              <w:t>Audit related fees</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91"/>
        </w:trPr>
        <w:tc>
          <w:tcPr>
            <w:tcW w:w="9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fees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207"/>
        </w:trPr>
        <w:tc>
          <w:tcPr>
            <w:tcW w:w="8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All other fees</w:t>
            </w: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r>
      <w:tr>
        <w:trPr>
          <w:trHeight w:val="219"/>
        </w:trPr>
        <w:tc>
          <w:tcPr>
            <w:tcW w:w="8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4,724</w:t>
            </w: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755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Audit Fees</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Audit fees were paid for professional services rendered by the auditors for the audit of the consolidated financial statements of the Company and the statutory financial statements of the Company and its subsidiaries.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Audit-Related Fees</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Audit-related fees are typically services that are reasonably related to the performance of the audit or review of the consolidated financial statements and are not reported under the audit fee item above. This item includes fees for attestation services on financial information of the Company and its subsidiaries included in their annual reports that are filed with their respective regulators.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Tax Fees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Tax fees were paid for tax compliance and tax advice professional services.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All other fees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other fees were paid for specific minor professional services not related to the above categories.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Audit Committee’s Pre-approval Policies and Procedures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Company’s audit committee is responsible for, among other things, the oversight of the Company’s independent auditors. The audit committee has adopted a policy of pre-approval of audit and permissible non-audit services provided by its independent auditors in its charter.</w:t>
      </w:r>
    </w:p>
    <w:p>
      <w:pPr>
        <w:spacing w:after="0" w:line="15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Under the policy, the audit committee makes its recommendations through the Board of Directors to the shareholders’ meeting concerning the continuing appointment or termination of the Company’s independent auditors. On a yearly basis, the audit committee reviews together with management and the independent auditor, the audit plan, audit related services and other non-audit services and approves the related fees. Any changes to the approved fees must be reviewed and approved by the audit committee. In addition, the audit committee delegated to its Chairman the authority to consider and approve, on behalf of the Audit Committee, additional non-audit services that were not recognized at the time of engagement, which must be reported to the other members of the audit committee at its next meeting. No services outside the scope of the audit committee’s approval can be undertaken by the independent auditor.</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audit committee has authorized all auditing and non-auditing services provided by our independent accountants during the year ended December 31, 2021 and the fees paid for such services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color w:val="auto"/>
        </w:rPr>
        <w:t>ITEM 16D. EXEMPTIONS FROM THE LISTING STANDARDS FOR AUDIT COMMITTEES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16F. CHANGE IN REGISTRANT’S CERTIFYING ACCOUNTANT.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16G. CORPORATE GOVERNANCE</w:t>
      </w:r>
    </w:p>
    <w:p>
      <w:pPr>
        <w:spacing w:after="0" w:line="202"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Our corporate governance practices are governed by Luxembourg Companies Law and our amended and restated articles of association. As a foreign private issuer listed on the Nasdaq Global Market, the Company is permitted to follow certain Luxembourg corporate governance practices in lieu of certain listing rules of Nasdaq (the “Nasdaq Listing Rules”). The Company complies with the corporate governance requirements of the Nasdaq Listing Rules, except that it intends to follow Luxembourg practice with respect to quorum requirements for shareholder meetings in lieu of the requirement under Nasdaq Listing Rules that the quorum be not less than 33 1/3% of the outstanding voting shares. Under the Company’s amended and restated articles of association, at an ordinary general meeting, there is no quorum requirement and resolutions are adopted by a simple majority of validly cast votes. In addition, under the Company’s amended and restated articles of association, for any resolutions to be considered at an extraordinary general meeting of shareholders, the quorum shall be at least one half of our issued share capital unless otherwise mandatorily required by law.</w:t>
      </w:r>
    </w:p>
    <w:p>
      <w:pPr>
        <w:spacing w:after="0" w:line="144"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For purposes of the Nasdaq Listing Rules, the Company is a “controlled company.” Under Nasdaq Listing Rules, controlled companies are companies of which more than 50% of the voting power for the election of directors is held by an individual, a group, or another company. The Minski Family owns 59.6% of the outstanding Ordinary Shares. Accordingly, although the Company will be eligible to take advantage of certain exemptions from certain Nasdaq corporate governance standards, it currently does not intend to do so except for the quorum requirement discussed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00" w:type="dxa"/>
            <w:vAlign w:val="bottom"/>
            <w:gridSpan w:val="8"/>
          </w:tcPr>
          <w:p>
            <w:pPr>
              <w:spacing w:after="0"/>
              <w:rPr>
                <w:sz w:val="20"/>
                <w:szCs w:val="20"/>
                <w:color w:val="auto"/>
              </w:rPr>
            </w:pPr>
            <w:r>
              <w:rPr>
                <w:rFonts w:ascii="Arial" w:cs="Arial" w:eastAsia="Arial" w:hAnsi="Arial"/>
                <w:sz w:val="16"/>
                <w:szCs w:val="16"/>
                <w:b w:val="1"/>
                <w:bCs w:val="1"/>
                <w:color w:val="auto"/>
              </w:rPr>
              <w:t>ITEM 16H. MINE SAFETY DISCLOSURE</w:t>
            </w:r>
          </w:p>
        </w:tc>
        <w:tc>
          <w:tcPr>
            <w:tcW w:w="2860" w:type="dxa"/>
            <w:vAlign w:val="bottom"/>
          </w:tcPr>
          <w:p>
            <w:pPr>
              <w:spacing w:after="0"/>
              <w:rPr>
                <w:sz w:val="18"/>
                <w:szCs w:val="18"/>
                <w:color w:val="auto"/>
              </w:rPr>
            </w:pPr>
          </w:p>
        </w:tc>
      </w:tr>
      <w:tr>
        <w:trPr>
          <w:trHeight w:val="382"/>
        </w:trPr>
        <w:tc>
          <w:tcPr>
            <w:tcW w:w="220" w:type="dxa"/>
            <w:vAlign w:val="bottom"/>
          </w:tcPr>
          <w:p>
            <w:pPr>
              <w:spacing w:after="0"/>
              <w:rPr>
                <w:sz w:val="24"/>
                <w:szCs w:val="24"/>
                <w:color w:val="auto"/>
              </w:rPr>
            </w:pPr>
          </w:p>
        </w:tc>
        <w:tc>
          <w:tcPr>
            <w:tcW w:w="8180" w:type="dxa"/>
            <w:vAlign w:val="bottom"/>
            <w:gridSpan w:val="7"/>
          </w:tcPr>
          <w:p>
            <w:pPr>
              <w:ind w:left="340"/>
              <w:spacing w:after="0"/>
              <w:rPr>
                <w:sz w:val="20"/>
                <w:szCs w:val="20"/>
                <w:color w:val="auto"/>
              </w:rPr>
            </w:pPr>
            <w:r>
              <w:rPr>
                <w:rFonts w:ascii="Arial" w:cs="Arial" w:eastAsia="Arial" w:hAnsi="Arial"/>
                <w:sz w:val="16"/>
                <w:szCs w:val="16"/>
                <w:color w:val="auto"/>
              </w:rPr>
              <w:t>Not applicable.</w:t>
            </w:r>
          </w:p>
        </w:tc>
        <w:tc>
          <w:tcPr>
            <w:tcW w:w="2860" w:type="dxa"/>
            <w:vAlign w:val="bottom"/>
          </w:tcPr>
          <w:p>
            <w:pPr>
              <w:spacing w:after="0"/>
              <w:rPr>
                <w:sz w:val="24"/>
                <w:szCs w:val="24"/>
                <w:color w:val="auto"/>
              </w:rPr>
            </w:pPr>
          </w:p>
        </w:tc>
      </w:tr>
      <w:tr>
        <w:trPr>
          <w:trHeight w:val="382"/>
        </w:trPr>
        <w:tc>
          <w:tcPr>
            <w:tcW w:w="8400" w:type="dxa"/>
            <w:vAlign w:val="bottom"/>
            <w:gridSpan w:val="8"/>
          </w:tcPr>
          <w:p>
            <w:pPr>
              <w:spacing w:after="0"/>
              <w:rPr>
                <w:sz w:val="20"/>
                <w:szCs w:val="20"/>
                <w:color w:val="auto"/>
              </w:rPr>
            </w:pPr>
            <w:r>
              <w:rPr>
                <w:rFonts w:ascii="Arial" w:cs="Arial" w:eastAsia="Arial" w:hAnsi="Arial"/>
                <w:sz w:val="16"/>
                <w:szCs w:val="16"/>
                <w:b w:val="1"/>
                <w:bCs w:val="1"/>
                <w:color w:val="auto"/>
              </w:rPr>
              <w:t>ITEM 16I. DISCLOSURE REGARDING FOREIGN JURISDICTIONS THAT PREVENT INSPECTIONS</w:t>
            </w:r>
          </w:p>
        </w:tc>
        <w:tc>
          <w:tcPr>
            <w:tcW w:w="2860" w:type="dxa"/>
            <w:vAlign w:val="bottom"/>
          </w:tcPr>
          <w:p>
            <w:pPr>
              <w:spacing w:after="0"/>
              <w:rPr>
                <w:sz w:val="24"/>
                <w:szCs w:val="24"/>
                <w:color w:val="auto"/>
              </w:rPr>
            </w:pPr>
          </w:p>
        </w:tc>
      </w:tr>
      <w:tr>
        <w:trPr>
          <w:trHeight w:val="382"/>
        </w:trPr>
        <w:tc>
          <w:tcPr>
            <w:tcW w:w="220" w:type="dxa"/>
            <w:vAlign w:val="bottom"/>
          </w:tcPr>
          <w:p>
            <w:pPr>
              <w:spacing w:after="0"/>
              <w:rPr>
                <w:sz w:val="24"/>
                <w:szCs w:val="24"/>
                <w:color w:val="auto"/>
              </w:rPr>
            </w:pPr>
          </w:p>
        </w:tc>
        <w:tc>
          <w:tcPr>
            <w:tcW w:w="8180" w:type="dxa"/>
            <w:vAlign w:val="bottom"/>
            <w:gridSpan w:val="7"/>
          </w:tcPr>
          <w:p>
            <w:pPr>
              <w:ind w:left="340"/>
              <w:spacing w:after="0"/>
              <w:rPr>
                <w:sz w:val="20"/>
                <w:szCs w:val="20"/>
                <w:color w:val="auto"/>
              </w:rPr>
            </w:pPr>
            <w:r>
              <w:rPr>
                <w:rFonts w:ascii="Arial" w:cs="Arial" w:eastAsia="Arial" w:hAnsi="Arial"/>
                <w:sz w:val="16"/>
                <w:szCs w:val="16"/>
                <w:color w:val="auto"/>
              </w:rPr>
              <w:t>Not applicable.</w:t>
            </w:r>
          </w:p>
        </w:tc>
        <w:tc>
          <w:tcPr>
            <w:tcW w:w="2860" w:type="dxa"/>
            <w:vAlign w:val="bottom"/>
          </w:tcPr>
          <w:p>
            <w:pPr>
              <w:spacing w:after="0"/>
              <w:rPr>
                <w:sz w:val="24"/>
                <w:szCs w:val="24"/>
                <w:color w:val="auto"/>
              </w:rPr>
            </w:pPr>
          </w:p>
        </w:tc>
      </w:tr>
      <w:tr>
        <w:trPr>
          <w:trHeight w:val="382"/>
        </w:trPr>
        <w:tc>
          <w:tcPr>
            <w:tcW w:w="8400" w:type="dxa"/>
            <w:vAlign w:val="bottom"/>
            <w:gridSpan w:val="8"/>
          </w:tcPr>
          <w:p>
            <w:pPr>
              <w:spacing w:after="0"/>
              <w:rPr>
                <w:sz w:val="20"/>
                <w:szCs w:val="20"/>
                <w:color w:val="auto"/>
              </w:rPr>
            </w:pPr>
            <w:r>
              <w:rPr>
                <w:rFonts w:ascii="Arial" w:cs="Arial" w:eastAsia="Arial" w:hAnsi="Arial"/>
                <w:sz w:val="16"/>
                <w:szCs w:val="16"/>
                <w:b w:val="1"/>
                <w:bCs w:val="1"/>
                <w:color w:val="auto"/>
              </w:rPr>
              <w:t>ITEM 17. FINANCIAL STATEMENTS</w:t>
            </w:r>
          </w:p>
        </w:tc>
        <w:tc>
          <w:tcPr>
            <w:tcW w:w="2860" w:type="dxa"/>
            <w:vAlign w:val="bottom"/>
          </w:tcPr>
          <w:p>
            <w:pPr>
              <w:spacing w:after="0"/>
              <w:rPr>
                <w:sz w:val="24"/>
                <w:szCs w:val="24"/>
                <w:color w:val="auto"/>
              </w:rPr>
            </w:pPr>
          </w:p>
        </w:tc>
      </w:tr>
      <w:tr>
        <w:trPr>
          <w:trHeight w:val="382"/>
        </w:trPr>
        <w:tc>
          <w:tcPr>
            <w:tcW w:w="220" w:type="dxa"/>
            <w:vAlign w:val="bottom"/>
          </w:tcPr>
          <w:p>
            <w:pPr>
              <w:spacing w:after="0"/>
              <w:rPr>
                <w:sz w:val="24"/>
                <w:szCs w:val="24"/>
                <w:color w:val="auto"/>
              </w:rPr>
            </w:pPr>
          </w:p>
        </w:tc>
        <w:tc>
          <w:tcPr>
            <w:tcW w:w="8180" w:type="dxa"/>
            <w:vAlign w:val="bottom"/>
            <w:gridSpan w:val="7"/>
          </w:tcPr>
          <w:p>
            <w:pPr>
              <w:ind w:left="340"/>
              <w:spacing w:after="0"/>
              <w:rPr>
                <w:sz w:val="20"/>
                <w:szCs w:val="20"/>
                <w:color w:val="auto"/>
              </w:rPr>
            </w:pPr>
            <w:r>
              <w:rPr>
                <w:rFonts w:ascii="Arial" w:cs="Arial" w:eastAsia="Arial" w:hAnsi="Arial"/>
                <w:sz w:val="16"/>
                <w:szCs w:val="16"/>
                <w:color w:val="auto"/>
              </w:rPr>
              <w:t>The Company has responded to Item 18 in lieu of responding to this item.</w:t>
            </w:r>
          </w:p>
        </w:tc>
        <w:tc>
          <w:tcPr>
            <w:tcW w:w="2860" w:type="dxa"/>
            <w:vAlign w:val="bottom"/>
          </w:tcPr>
          <w:p>
            <w:pPr>
              <w:spacing w:after="0"/>
              <w:rPr>
                <w:sz w:val="24"/>
                <w:szCs w:val="24"/>
                <w:color w:val="auto"/>
              </w:rPr>
            </w:pPr>
          </w:p>
        </w:tc>
      </w:tr>
      <w:tr>
        <w:trPr>
          <w:trHeight w:val="382"/>
        </w:trPr>
        <w:tc>
          <w:tcPr>
            <w:tcW w:w="8400" w:type="dxa"/>
            <w:vAlign w:val="bottom"/>
            <w:gridSpan w:val="8"/>
          </w:tcPr>
          <w:p>
            <w:pPr>
              <w:spacing w:after="0"/>
              <w:rPr>
                <w:sz w:val="20"/>
                <w:szCs w:val="20"/>
                <w:color w:val="auto"/>
              </w:rPr>
            </w:pPr>
            <w:r>
              <w:rPr>
                <w:rFonts w:ascii="Arial" w:cs="Arial" w:eastAsia="Arial" w:hAnsi="Arial"/>
                <w:sz w:val="16"/>
                <w:szCs w:val="16"/>
                <w:b w:val="1"/>
                <w:bCs w:val="1"/>
                <w:color w:val="auto"/>
              </w:rPr>
              <w:t>ITEM 18. FINANCIAL STATEMENTS</w:t>
            </w:r>
          </w:p>
        </w:tc>
        <w:tc>
          <w:tcPr>
            <w:tcW w:w="2860" w:type="dxa"/>
            <w:vAlign w:val="bottom"/>
          </w:tcPr>
          <w:p>
            <w:pPr>
              <w:spacing w:after="0"/>
              <w:rPr>
                <w:sz w:val="24"/>
                <w:szCs w:val="24"/>
                <w:color w:val="auto"/>
              </w:rPr>
            </w:pPr>
          </w:p>
        </w:tc>
      </w:tr>
      <w:tr>
        <w:trPr>
          <w:trHeight w:val="346"/>
        </w:trPr>
        <w:tc>
          <w:tcPr>
            <w:tcW w:w="8400" w:type="dxa"/>
            <w:vAlign w:val="bottom"/>
            <w:gridSpan w:val="8"/>
          </w:tcPr>
          <w:p>
            <w:pPr>
              <w:spacing w:after="0"/>
              <w:rPr>
                <w:sz w:val="20"/>
                <w:szCs w:val="20"/>
                <w:color w:val="auto"/>
              </w:rPr>
            </w:pPr>
            <w:r>
              <w:rPr>
                <w:rFonts w:ascii="Arial" w:cs="Arial" w:eastAsia="Arial" w:hAnsi="Arial"/>
                <w:sz w:val="16"/>
                <w:szCs w:val="16"/>
                <w:b w:val="1"/>
                <w:bCs w:val="1"/>
                <w:color w:val="auto"/>
              </w:rPr>
              <w:t>(1) Financial Statements</w:t>
            </w:r>
          </w:p>
        </w:tc>
        <w:tc>
          <w:tcPr>
            <w:tcW w:w="28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98"/>
        </w:trPr>
        <w:tc>
          <w:tcPr>
            <w:tcW w:w="8400" w:type="dxa"/>
            <w:vAlign w:val="bottom"/>
            <w:gridSpan w:val="8"/>
          </w:tcPr>
          <w:p>
            <w:pPr>
              <w:spacing w:after="0"/>
              <w:rPr>
                <w:sz w:val="20"/>
                <w:szCs w:val="20"/>
                <w:color w:val="auto"/>
              </w:rPr>
            </w:pPr>
            <w:r>
              <w:rPr>
                <w:rFonts w:ascii="Arial" w:cs="Arial" w:eastAsia="Arial" w:hAnsi="Arial"/>
                <w:sz w:val="16"/>
                <w:szCs w:val="16"/>
                <w:b w:val="1"/>
                <w:bCs w:val="1"/>
                <w:i w:val="1"/>
                <w:iCs w:val="1"/>
                <w:color w:val="auto"/>
              </w:rPr>
              <w:t>Procaps Group S.A. and subsidiaries (The Group)</w:t>
            </w:r>
          </w:p>
        </w:tc>
        <w:tc>
          <w:tcPr>
            <w:tcW w:w="2860" w:type="dxa"/>
            <w:vAlign w:val="bottom"/>
          </w:tcPr>
          <w:p>
            <w:pPr>
              <w:spacing w:after="0"/>
              <w:rPr>
                <w:sz w:val="24"/>
                <w:szCs w:val="24"/>
                <w:color w:val="auto"/>
              </w:rPr>
            </w:pPr>
          </w:p>
        </w:tc>
      </w:tr>
      <w:tr>
        <w:trPr>
          <w:trHeight w:val="382"/>
        </w:trPr>
        <w:tc>
          <w:tcPr>
            <w:tcW w:w="8400" w:type="dxa"/>
            <w:vAlign w:val="bottom"/>
            <w:gridSpan w:val="8"/>
          </w:tcPr>
          <w:p>
            <w:pPr>
              <w:spacing w:after="0"/>
              <w:rPr>
                <w:sz w:val="20"/>
                <w:szCs w:val="20"/>
                <w:color w:val="auto"/>
              </w:rPr>
            </w:pPr>
            <w:r>
              <w:rPr>
                <w:rFonts w:ascii="Arial" w:cs="Arial" w:eastAsia="Arial" w:hAnsi="Arial"/>
                <w:sz w:val="16"/>
                <w:szCs w:val="16"/>
                <w:b w:val="1"/>
                <w:bCs w:val="1"/>
                <w:i w:val="1"/>
                <w:iCs w:val="1"/>
                <w:color w:val="auto"/>
              </w:rPr>
              <w:t>Consolidated Financial Statements for the years ended December 31, 2021, 2020 and 2019</w:t>
            </w:r>
          </w:p>
        </w:tc>
        <w:tc>
          <w:tcPr>
            <w:tcW w:w="2860" w:type="dxa"/>
            <w:vAlign w:val="bottom"/>
          </w:tcPr>
          <w:p>
            <w:pPr>
              <w:spacing w:after="0"/>
              <w:rPr>
                <w:sz w:val="24"/>
                <w:szCs w:val="24"/>
                <w:color w:val="auto"/>
              </w:rPr>
            </w:pPr>
          </w:p>
        </w:tc>
      </w:tr>
      <w:tr>
        <w:trPr>
          <w:trHeight w:val="191"/>
        </w:trPr>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171"/>
        </w:trPr>
        <w:tc>
          <w:tcPr>
            <w:tcW w:w="5100" w:type="dxa"/>
            <w:vAlign w:val="bottom"/>
            <w:tcBorders>
              <w:bottom w:val="single" w:sz="8" w:color="0000EE"/>
            </w:tcBorders>
            <w:gridSpan w:val="3"/>
            <w:shd w:val="clear" w:color="auto" w:fill="CCEEFF"/>
          </w:tcPr>
          <w:p>
            <w:pPr>
              <w:spacing w:after="0" w:line="155" w:lineRule="exact"/>
              <w:rPr>
                <w:rFonts w:ascii="Arial" w:cs="Arial" w:eastAsia="Arial" w:hAnsi="Arial"/>
                <w:sz w:val="16"/>
                <w:szCs w:val="16"/>
                <w:color w:val="0000EE"/>
                <w:w w:val="91"/>
              </w:rPr>
            </w:pPr>
            <w:hyperlink w:anchor="page126">
              <w:r>
                <w:rPr>
                  <w:rFonts w:ascii="Arial" w:cs="Arial" w:eastAsia="Arial" w:hAnsi="Arial"/>
                  <w:sz w:val="16"/>
                  <w:szCs w:val="16"/>
                  <w:color w:val="0000EE"/>
                  <w:w w:val="91"/>
                </w:rPr>
                <w:t>Report of Independent Registered Public Accounting Firm – PCAOB – ID 1183</w:t>
              </w:r>
            </w:hyperlink>
          </w:p>
        </w:tc>
        <w:tc>
          <w:tcPr>
            <w:tcW w:w="3300" w:type="dxa"/>
            <w:vAlign w:val="bottom"/>
            <w:tcBorders>
              <w:bottom w:val="single" w:sz="8" w:color="CCEEFF"/>
            </w:tcBorders>
            <w:gridSpan w:val="5"/>
            <w:shd w:val="clear" w:color="auto" w:fill="CCEEFF"/>
          </w:tcPr>
          <w:p>
            <w:pPr>
              <w:spacing w:after="0"/>
              <w:rPr>
                <w:sz w:val="14"/>
                <w:szCs w:val="14"/>
                <w:color w:val="auto"/>
              </w:rPr>
            </w:pPr>
          </w:p>
        </w:tc>
        <w:tc>
          <w:tcPr>
            <w:tcW w:w="2860" w:type="dxa"/>
            <w:vAlign w:val="bottom"/>
            <w:tcBorders>
              <w:bottom w:val="single" w:sz="8" w:color="CCEEFF"/>
            </w:tcBorders>
            <w:shd w:val="clear" w:color="auto" w:fill="CCEEFF"/>
          </w:tcPr>
          <w:p>
            <w:pPr>
              <w:ind w:left="2180"/>
              <w:spacing w:after="0" w:line="155" w:lineRule="exact"/>
              <w:rPr>
                <w:sz w:val="20"/>
                <w:szCs w:val="20"/>
                <w:color w:val="auto"/>
              </w:rPr>
            </w:pPr>
            <w:r>
              <w:rPr>
                <w:rFonts w:ascii="Arial" w:cs="Arial" w:eastAsia="Arial" w:hAnsi="Arial"/>
                <w:sz w:val="16"/>
                <w:szCs w:val="16"/>
                <w:color w:val="auto"/>
              </w:rPr>
              <w:t>F-2</w:t>
            </w:r>
          </w:p>
        </w:tc>
      </w:tr>
      <w:tr>
        <w:trPr>
          <w:trHeight w:val="163"/>
        </w:trPr>
        <w:tc>
          <w:tcPr>
            <w:tcW w:w="8400" w:type="dxa"/>
            <w:vAlign w:val="bottom"/>
            <w:tcBorders>
              <w:bottom w:val="single" w:sz="8" w:color="0000EE"/>
            </w:tcBorders>
            <w:gridSpan w:val="8"/>
          </w:tcPr>
          <w:p>
            <w:pPr>
              <w:spacing w:after="0" w:line="155" w:lineRule="exact"/>
              <w:rPr>
                <w:rFonts w:ascii="Arial" w:cs="Arial" w:eastAsia="Arial" w:hAnsi="Arial"/>
                <w:sz w:val="16"/>
                <w:szCs w:val="16"/>
                <w:color w:val="0000EE"/>
                <w:w w:val="89"/>
              </w:rPr>
            </w:pPr>
            <w:hyperlink w:anchor="page127">
              <w:r>
                <w:rPr>
                  <w:rFonts w:ascii="Arial" w:cs="Arial" w:eastAsia="Arial" w:hAnsi="Arial"/>
                  <w:sz w:val="16"/>
                  <w:szCs w:val="16"/>
                  <w:color w:val="0000EE"/>
                  <w:w w:val="89"/>
                </w:rPr>
                <w:t>Consolidated Statement of Profit or Loss and Other Comprehensive Income for the years ended December 31, 2021, 2020 and 2019</w:t>
              </w:r>
            </w:hyperlink>
          </w:p>
        </w:tc>
        <w:tc>
          <w:tcPr>
            <w:tcW w:w="2860" w:type="dxa"/>
            <w:vAlign w:val="bottom"/>
          </w:tcPr>
          <w:p>
            <w:pPr>
              <w:ind w:left="2180"/>
              <w:spacing w:after="0" w:line="155" w:lineRule="exact"/>
              <w:rPr>
                <w:sz w:val="20"/>
                <w:szCs w:val="20"/>
                <w:color w:val="auto"/>
              </w:rPr>
            </w:pPr>
            <w:r>
              <w:rPr>
                <w:rFonts w:ascii="Arial" w:cs="Arial" w:eastAsia="Arial" w:hAnsi="Arial"/>
                <w:sz w:val="16"/>
                <w:szCs w:val="16"/>
                <w:color w:val="auto"/>
              </w:rPr>
              <w:t>F-3</w:t>
            </w:r>
          </w:p>
        </w:tc>
      </w:tr>
      <w:tr>
        <w:trPr>
          <w:trHeight w:val="179"/>
        </w:trPr>
        <w:tc>
          <w:tcPr>
            <w:tcW w:w="6820" w:type="dxa"/>
            <w:vAlign w:val="bottom"/>
            <w:tcBorders>
              <w:bottom w:val="single" w:sz="8" w:color="0000EE"/>
            </w:tcBorders>
            <w:gridSpan w:val="7"/>
            <w:shd w:val="clear" w:color="auto" w:fill="CCEEFF"/>
          </w:tcPr>
          <w:p>
            <w:pPr>
              <w:spacing w:after="0" w:line="163" w:lineRule="exact"/>
              <w:rPr>
                <w:rFonts w:ascii="Arial" w:cs="Arial" w:eastAsia="Arial" w:hAnsi="Arial"/>
                <w:sz w:val="16"/>
                <w:szCs w:val="16"/>
                <w:color w:val="0000EE"/>
                <w:w w:val="89"/>
              </w:rPr>
            </w:pPr>
            <w:hyperlink w:anchor="page129">
              <w:r>
                <w:rPr>
                  <w:rFonts w:ascii="Arial" w:cs="Arial" w:eastAsia="Arial" w:hAnsi="Arial"/>
                  <w:sz w:val="16"/>
                  <w:szCs w:val="16"/>
                  <w:color w:val="0000EE"/>
                  <w:w w:val="89"/>
                </w:rPr>
                <w:t>Consolidated Statement of Financial Position as of December 31, 2021 and 2020 and as of January 1, 2020</w:t>
              </w:r>
            </w:hyperlink>
          </w:p>
        </w:tc>
        <w:tc>
          <w:tcPr>
            <w:tcW w:w="1580" w:type="dxa"/>
            <w:vAlign w:val="bottom"/>
            <w:tcBorders>
              <w:bottom w:val="single" w:sz="8" w:color="CCEEFF"/>
            </w:tcBorders>
            <w:shd w:val="clear" w:color="auto" w:fill="CCEEFF"/>
          </w:tcPr>
          <w:p>
            <w:pPr>
              <w:spacing w:after="0"/>
              <w:rPr>
                <w:sz w:val="15"/>
                <w:szCs w:val="15"/>
                <w:color w:val="auto"/>
              </w:rPr>
            </w:pPr>
          </w:p>
        </w:tc>
        <w:tc>
          <w:tcPr>
            <w:tcW w:w="2860" w:type="dxa"/>
            <w:vAlign w:val="bottom"/>
            <w:tcBorders>
              <w:bottom w:val="single" w:sz="8" w:color="CCEEFF"/>
            </w:tcBorders>
            <w:shd w:val="clear" w:color="auto" w:fill="CCEEFF"/>
          </w:tcPr>
          <w:p>
            <w:pPr>
              <w:ind w:left="2180"/>
              <w:spacing w:after="0" w:line="163" w:lineRule="exact"/>
              <w:rPr>
                <w:sz w:val="20"/>
                <w:szCs w:val="20"/>
                <w:color w:val="auto"/>
              </w:rPr>
            </w:pPr>
            <w:r>
              <w:rPr>
                <w:rFonts w:ascii="Arial" w:cs="Arial" w:eastAsia="Arial" w:hAnsi="Arial"/>
                <w:sz w:val="16"/>
                <w:szCs w:val="16"/>
                <w:color w:val="auto"/>
              </w:rPr>
              <w:t>F-5</w:t>
            </w:r>
          </w:p>
        </w:tc>
      </w:tr>
      <w:tr>
        <w:trPr>
          <w:trHeight w:val="155"/>
        </w:trPr>
        <w:tc>
          <w:tcPr>
            <w:tcW w:w="8400" w:type="dxa"/>
            <w:vAlign w:val="bottom"/>
            <w:gridSpan w:val="8"/>
          </w:tcPr>
          <w:p>
            <w:pPr>
              <w:spacing w:after="0" w:line="155" w:lineRule="exact"/>
              <w:rPr>
                <w:rFonts w:ascii="Arial" w:cs="Arial" w:eastAsia="Arial" w:hAnsi="Arial"/>
                <w:sz w:val="16"/>
                <w:szCs w:val="16"/>
                <w:color w:val="0000EE"/>
              </w:rPr>
            </w:pPr>
            <w:hyperlink w:anchor="page130">
              <w:r>
                <w:rPr>
                  <w:rFonts w:ascii="Arial" w:cs="Arial" w:eastAsia="Arial" w:hAnsi="Arial"/>
                  <w:sz w:val="16"/>
                  <w:szCs w:val="16"/>
                  <w:color w:val="0000EE"/>
                </w:rPr>
                <w:t>Consolidated Statement of Changes in Equity as of December 31, 2021, 2020 and 2019</w:t>
              </w:r>
            </w:hyperlink>
          </w:p>
        </w:tc>
        <w:tc>
          <w:tcPr>
            <w:tcW w:w="2860" w:type="dxa"/>
            <w:vAlign w:val="bottom"/>
          </w:tcPr>
          <w:p>
            <w:pPr>
              <w:ind w:left="2180"/>
              <w:spacing w:after="0" w:line="155" w:lineRule="exact"/>
              <w:rPr>
                <w:sz w:val="20"/>
                <w:szCs w:val="20"/>
                <w:color w:val="auto"/>
              </w:rPr>
            </w:pPr>
            <w:r>
              <w:rPr>
                <w:rFonts w:ascii="Arial" w:cs="Arial" w:eastAsia="Arial" w:hAnsi="Arial"/>
                <w:sz w:val="16"/>
                <w:szCs w:val="16"/>
                <w:color w:val="auto"/>
              </w:rPr>
              <w:t>F-6</w:t>
            </w:r>
          </w:p>
        </w:tc>
      </w:tr>
      <w:tr>
        <w:trPr>
          <w:trHeight w:val="28"/>
        </w:trPr>
        <w:tc>
          <w:tcPr>
            <w:tcW w:w="220" w:type="dxa"/>
            <w:vAlign w:val="bottom"/>
            <w:shd w:val="clear" w:color="auto" w:fill="0000EE"/>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34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163"/>
        </w:trPr>
        <w:tc>
          <w:tcPr>
            <w:tcW w:w="8400" w:type="dxa"/>
            <w:vAlign w:val="bottom"/>
            <w:gridSpan w:val="8"/>
            <w:shd w:val="clear" w:color="auto" w:fill="CCEEFF"/>
          </w:tcPr>
          <w:p>
            <w:pPr>
              <w:spacing w:after="0" w:line="163" w:lineRule="exact"/>
              <w:rPr>
                <w:rFonts w:ascii="Arial" w:cs="Arial" w:eastAsia="Arial" w:hAnsi="Arial"/>
                <w:sz w:val="16"/>
                <w:szCs w:val="16"/>
                <w:color w:val="0000EE"/>
              </w:rPr>
            </w:pPr>
            <w:hyperlink w:anchor="page131">
              <w:r>
                <w:rPr>
                  <w:rFonts w:ascii="Arial" w:cs="Arial" w:eastAsia="Arial" w:hAnsi="Arial"/>
                  <w:sz w:val="16"/>
                  <w:szCs w:val="16"/>
                  <w:color w:val="0000EE"/>
                </w:rPr>
                <w:t>Consolidated Statement of Cash Flows for the years ended December 31, 2021, 2020 and 2019</w:t>
              </w:r>
            </w:hyperlink>
          </w:p>
        </w:tc>
        <w:tc>
          <w:tcPr>
            <w:tcW w:w="2860" w:type="dxa"/>
            <w:vAlign w:val="bottom"/>
            <w:shd w:val="clear" w:color="auto" w:fill="CCEEFF"/>
          </w:tcPr>
          <w:p>
            <w:pPr>
              <w:ind w:left="2180"/>
              <w:spacing w:after="0" w:line="163" w:lineRule="exact"/>
              <w:rPr>
                <w:sz w:val="20"/>
                <w:szCs w:val="20"/>
                <w:color w:val="auto"/>
              </w:rPr>
            </w:pPr>
            <w:r>
              <w:rPr>
                <w:rFonts w:ascii="Arial" w:cs="Arial" w:eastAsia="Arial" w:hAnsi="Arial"/>
                <w:sz w:val="16"/>
                <w:szCs w:val="16"/>
                <w:color w:val="auto"/>
              </w:rPr>
              <w:t>F-7</w:t>
            </w:r>
          </w:p>
        </w:tc>
      </w:tr>
      <w:tr>
        <w:trPr>
          <w:trHeight w:val="36"/>
        </w:trPr>
        <w:tc>
          <w:tcPr>
            <w:tcW w:w="220" w:type="dxa"/>
            <w:vAlign w:val="bottom"/>
            <w:shd w:val="clear" w:color="auto" w:fill="0000EE"/>
          </w:tcPr>
          <w:p>
            <w:pPr>
              <w:spacing w:after="0"/>
              <w:rPr>
                <w:sz w:val="3"/>
                <w:szCs w:val="3"/>
                <w:color w:val="auto"/>
              </w:rPr>
            </w:pPr>
          </w:p>
        </w:tc>
        <w:tc>
          <w:tcPr>
            <w:tcW w:w="1420" w:type="dxa"/>
            <w:vAlign w:val="bottom"/>
            <w:shd w:val="clear" w:color="auto" w:fill="0000EE"/>
          </w:tcPr>
          <w:p>
            <w:pPr>
              <w:spacing w:after="0"/>
              <w:rPr>
                <w:sz w:val="3"/>
                <w:szCs w:val="3"/>
                <w:color w:val="auto"/>
              </w:rPr>
            </w:pPr>
          </w:p>
        </w:tc>
        <w:tc>
          <w:tcPr>
            <w:tcW w:w="346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2860" w:type="dxa"/>
            <w:vAlign w:val="bottom"/>
            <w:shd w:val="clear" w:color="auto" w:fill="CCEEFF"/>
          </w:tcPr>
          <w:p>
            <w:pPr>
              <w:spacing w:after="0"/>
              <w:rPr>
                <w:sz w:val="3"/>
                <w:szCs w:val="3"/>
                <w:color w:val="auto"/>
              </w:rPr>
            </w:pPr>
          </w:p>
        </w:tc>
      </w:tr>
      <w:tr>
        <w:trPr>
          <w:trHeight w:val="155"/>
        </w:trPr>
        <w:tc>
          <w:tcPr>
            <w:tcW w:w="8400" w:type="dxa"/>
            <w:vAlign w:val="bottom"/>
            <w:gridSpan w:val="8"/>
          </w:tcPr>
          <w:p>
            <w:pPr>
              <w:spacing w:after="0" w:line="155" w:lineRule="exact"/>
              <w:rPr>
                <w:rFonts w:ascii="Arial" w:cs="Arial" w:eastAsia="Arial" w:hAnsi="Arial"/>
                <w:sz w:val="16"/>
                <w:szCs w:val="16"/>
                <w:color w:val="0000EE"/>
              </w:rPr>
            </w:pPr>
            <w:hyperlink w:anchor="page133">
              <w:r>
                <w:rPr>
                  <w:rFonts w:ascii="Arial" w:cs="Arial" w:eastAsia="Arial" w:hAnsi="Arial"/>
                  <w:sz w:val="16"/>
                  <w:szCs w:val="16"/>
                  <w:color w:val="0000EE"/>
                </w:rPr>
                <w:t>Notes to Consolidated Financial Statements for the years ended December 31, 2021, 2020 and 2019</w:t>
              </w:r>
            </w:hyperlink>
          </w:p>
        </w:tc>
        <w:tc>
          <w:tcPr>
            <w:tcW w:w="2860" w:type="dxa"/>
            <w:vAlign w:val="bottom"/>
          </w:tcPr>
          <w:p>
            <w:pPr>
              <w:ind w:left="2180"/>
              <w:spacing w:after="0" w:line="155" w:lineRule="exact"/>
              <w:rPr>
                <w:sz w:val="20"/>
                <w:szCs w:val="20"/>
                <w:color w:val="auto"/>
              </w:rPr>
            </w:pPr>
            <w:r>
              <w:rPr>
                <w:rFonts w:ascii="Arial" w:cs="Arial" w:eastAsia="Arial" w:hAnsi="Arial"/>
                <w:sz w:val="16"/>
                <w:szCs w:val="16"/>
                <w:color w:val="auto"/>
              </w:rPr>
              <w:t>F-8</w:t>
            </w:r>
          </w:p>
        </w:tc>
      </w:tr>
      <w:tr>
        <w:trPr>
          <w:trHeight w:val="593"/>
        </w:trPr>
        <w:tc>
          <w:tcPr>
            <w:tcW w:w="6040" w:type="dxa"/>
            <w:vAlign w:val="bottom"/>
            <w:tcBorders>
              <w:top w:val="single" w:sz="8" w:color="0000EE"/>
              <w:bottom w:val="single" w:sz="8" w:color="auto"/>
            </w:tcBorders>
            <w:gridSpan w:val="5"/>
          </w:tcPr>
          <w:p>
            <w:pPr>
              <w:ind w:left="5500"/>
              <w:spacing w:after="0"/>
              <w:rPr>
                <w:sz w:val="20"/>
                <w:szCs w:val="20"/>
                <w:color w:val="auto"/>
              </w:rPr>
            </w:pPr>
            <w:r>
              <w:rPr>
                <w:rFonts w:ascii="Arial" w:cs="Arial" w:eastAsia="Arial" w:hAnsi="Arial"/>
                <w:sz w:val="16"/>
                <w:szCs w:val="16"/>
                <w:color w:val="auto"/>
              </w:rPr>
              <w:t>109</w:t>
            </w:r>
          </w:p>
        </w:tc>
        <w:tc>
          <w:tcPr>
            <w:tcW w:w="32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2" w:right="319" w:bottom="1440" w:gutter="0" w:footer="0" w:header="0"/>
        </w:sectPr>
      </w:pPr>
    </w:p>
    <w:bookmarkStart w:id="121" w:name="page122"/>
    <w:bookmarkEnd w:id="12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120" w:type="dxa"/>
            <w:vAlign w:val="bottom"/>
            <w:gridSpan w:val="8"/>
          </w:tcPr>
          <w:p>
            <w:pPr>
              <w:ind w:left="160"/>
              <w:spacing w:after="0"/>
              <w:rPr>
                <w:sz w:val="20"/>
                <w:szCs w:val="20"/>
                <w:color w:val="auto"/>
              </w:rPr>
            </w:pPr>
            <w:r>
              <w:rPr>
                <w:rFonts w:ascii="Arial" w:cs="Arial" w:eastAsia="Arial" w:hAnsi="Arial"/>
                <w:sz w:val="16"/>
                <w:szCs w:val="16"/>
                <w:b w:val="1"/>
                <w:bCs w:val="1"/>
                <w:color w:val="auto"/>
              </w:rPr>
              <w:t>PART III</w:t>
            </w:r>
          </w:p>
        </w:tc>
      </w:tr>
      <w:tr>
        <w:trPr>
          <w:trHeight w:val="382"/>
        </w:trPr>
        <w:tc>
          <w:tcPr>
            <w:tcW w:w="1240" w:type="dxa"/>
            <w:vAlign w:val="bottom"/>
            <w:gridSpan w:val="2"/>
          </w:tcPr>
          <w:p>
            <w:pPr>
              <w:spacing w:after="0"/>
              <w:rPr>
                <w:sz w:val="20"/>
                <w:szCs w:val="20"/>
                <w:color w:val="auto"/>
              </w:rPr>
            </w:pPr>
            <w:r>
              <w:rPr>
                <w:rFonts w:ascii="Arial" w:cs="Arial" w:eastAsia="Arial" w:hAnsi="Arial"/>
                <w:sz w:val="16"/>
                <w:szCs w:val="16"/>
                <w:b w:val="1"/>
                <w:bCs w:val="1"/>
                <w:color w:val="auto"/>
                <w:w w:val="95"/>
              </w:rPr>
              <w:t>Item 19: Exhibits</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6"/>
        </w:trPr>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00" w:type="dxa"/>
            <w:vAlign w:val="bottom"/>
            <w:gridSpan w:val="7"/>
          </w:tcPr>
          <w:p>
            <w:pPr>
              <w:ind w:left="480"/>
              <w:spacing w:after="0"/>
              <w:rPr>
                <w:sz w:val="20"/>
                <w:szCs w:val="20"/>
                <w:color w:val="auto"/>
              </w:rPr>
            </w:pPr>
            <w:r>
              <w:rPr>
                <w:rFonts w:ascii="Arial" w:cs="Arial" w:eastAsia="Arial" w:hAnsi="Arial"/>
                <w:sz w:val="16"/>
                <w:szCs w:val="16"/>
                <w:b w:val="1"/>
                <w:bCs w:val="1"/>
                <w:color w:val="auto"/>
              </w:rPr>
              <w:t>Description</w:t>
            </w:r>
          </w:p>
        </w:tc>
      </w:tr>
      <w:tr>
        <w:trPr>
          <w:trHeight w:val="155"/>
        </w:trPr>
        <w:tc>
          <w:tcPr>
            <w:tcW w:w="1140" w:type="dxa"/>
            <w:vAlign w:val="bottom"/>
            <w:tcBorders>
              <w:top w:val="single" w:sz="8" w:color="auto"/>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20" w:type="dxa"/>
            <w:vAlign w:val="bottom"/>
            <w:tcBorders>
              <w:top w:val="single" w:sz="8" w:color="auto"/>
              <w:bottom w:val="single" w:sz="8" w:color="0000EE"/>
            </w:tcBorders>
            <w:gridSpan w:val="16"/>
            <w:shd w:val="clear" w:color="auto" w:fill="CCEEFF"/>
          </w:tcPr>
          <w:p>
            <w:pPr>
              <w:spacing w:after="0" w:line="155" w:lineRule="exact"/>
              <w:rPr>
                <w:rFonts w:ascii="Arial" w:cs="Arial" w:eastAsia="Arial" w:hAnsi="Arial"/>
                <w:sz w:val="16"/>
                <w:szCs w:val="16"/>
                <w:color w:val="0000EE"/>
                <w:w w:val="90"/>
              </w:rPr>
            </w:pPr>
            <w:hyperlink r:id="rId137">
              <w:r>
                <w:rPr>
                  <w:rFonts w:ascii="Arial" w:cs="Arial" w:eastAsia="Arial" w:hAnsi="Arial"/>
                  <w:sz w:val="16"/>
                  <w:szCs w:val="16"/>
                  <w:color w:val="0000EE"/>
                  <w:w w:val="90"/>
                </w:rPr>
                <w:t>Amended and Restated Articles of Association of Procaps Group, S.A., dated as of September 28, 2021 (incorporated by reference to Exhibit 1.1 to Procaps</w:t>
              </w:r>
            </w:hyperlink>
          </w:p>
        </w:tc>
      </w:tr>
      <w:tr>
        <w:trPr>
          <w:trHeight w:val="171"/>
        </w:trPr>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20" w:type="dxa"/>
            <w:vAlign w:val="bottom"/>
            <w:gridSpan w:val="16"/>
            <w:shd w:val="clear" w:color="auto" w:fill="CCEEFF"/>
          </w:tcPr>
          <w:p>
            <w:pPr>
              <w:spacing w:after="0" w:line="171" w:lineRule="exact"/>
              <w:rPr>
                <w:rFonts w:ascii="Arial" w:cs="Arial" w:eastAsia="Arial" w:hAnsi="Arial"/>
                <w:sz w:val="16"/>
                <w:szCs w:val="16"/>
                <w:color w:val="0000EE"/>
              </w:rPr>
            </w:pPr>
            <w:hyperlink r:id="rId137">
              <w:r>
                <w:rPr>
                  <w:rFonts w:ascii="Arial" w:cs="Arial" w:eastAsia="Arial" w:hAnsi="Arial"/>
                  <w:sz w:val="16"/>
                  <w:szCs w:val="16"/>
                  <w:color w:val="0000EE"/>
                </w:rPr>
                <w:t>Group, S.A.’s Form 20-F, File No. 001-40851, filed with the SEC on September 30, 2021).</w:t>
              </w:r>
            </w:hyperlink>
          </w:p>
        </w:tc>
      </w:tr>
      <w:tr>
        <w:trPr>
          <w:trHeight w:val="36"/>
        </w:trPr>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18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140" w:type="dxa"/>
            <w:vAlign w:val="bottom"/>
          </w:tcPr>
          <w:p>
            <w:pPr>
              <w:spacing w:after="0" w:line="155" w:lineRule="exact"/>
              <w:rPr>
                <w:sz w:val="20"/>
                <w:szCs w:val="20"/>
                <w:color w:val="auto"/>
              </w:rPr>
            </w:pPr>
            <w:r>
              <w:rPr>
                <w:rFonts w:ascii="Arial" w:cs="Arial" w:eastAsia="Arial" w:hAnsi="Arial"/>
                <w:sz w:val="16"/>
                <w:szCs w:val="16"/>
                <w:color w:val="auto"/>
              </w:rPr>
              <w:t>2.1</w:t>
            </w:r>
          </w:p>
        </w:tc>
        <w:tc>
          <w:tcPr>
            <w:tcW w:w="100" w:type="dxa"/>
            <w:vAlign w:val="bottom"/>
          </w:tcPr>
          <w:p>
            <w:pPr>
              <w:spacing w:after="0"/>
              <w:rPr>
                <w:sz w:val="13"/>
                <w:szCs w:val="13"/>
                <w:color w:val="auto"/>
              </w:rPr>
            </w:pPr>
          </w:p>
        </w:tc>
        <w:tc>
          <w:tcPr>
            <w:tcW w:w="10020" w:type="dxa"/>
            <w:vAlign w:val="bottom"/>
            <w:tcBorders>
              <w:bottom w:val="single" w:sz="8" w:color="0000EE"/>
            </w:tcBorders>
            <w:gridSpan w:val="16"/>
          </w:tcPr>
          <w:p>
            <w:pPr>
              <w:spacing w:after="0" w:line="155" w:lineRule="exact"/>
              <w:rPr>
                <w:rFonts w:ascii="Arial" w:cs="Arial" w:eastAsia="Arial" w:hAnsi="Arial"/>
                <w:sz w:val="16"/>
                <w:szCs w:val="16"/>
                <w:color w:val="0000EE"/>
                <w:w w:val="91"/>
              </w:rPr>
            </w:pPr>
            <w:hyperlink r:id="rId138">
              <w:r>
                <w:rPr>
                  <w:rFonts w:ascii="Arial" w:cs="Arial" w:eastAsia="Arial" w:hAnsi="Arial"/>
                  <w:sz w:val="16"/>
                  <w:szCs w:val="16"/>
                  <w:color w:val="0000EE"/>
                  <w:w w:val="91"/>
                </w:rPr>
                <w:t>Specimen Ordinary Share Certificate of Procaps Group, S.A. (incorporated by reference to Exhibit 4.1 to Procaps Group, S.A.’s Registration Statement on</w:t>
              </w:r>
            </w:hyperlink>
          </w:p>
        </w:tc>
      </w:tr>
      <w:tr>
        <w:trPr>
          <w:trHeight w:val="179"/>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tcBorders>
              <w:bottom w:val="single" w:sz="8" w:color="0000EE"/>
            </w:tcBorders>
            <w:gridSpan w:val="7"/>
          </w:tcPr>
          <w:p>
            <w:pPr>
              <w:spacing w:after="0" w:line="171" w:lineRule="exact"/>
              <w:rPr>
                <w:rFonts w:ascii="Arial" w:cs="Arial" w:eastAsia="Arial" w:hAnsi="Arial"/>
                <w:sz w:val="16"/>
                <w:szCs w:val="16"/>
                <w:color w:val="0000EE"/>
                <w:w w:val="92"/>
              </w:rPr>
            </w:pPr>
            <w:hyperlink r:id="rId138">
              <w:r>
                <w:rPr>
                  <w:rFonts w:ascii="Arial" w:cs="Arial" w:eastAsia="Arial" w:hAnsi="Arial"/>
                  <w:sz w:val="16"/>
                  <w:szCs w:val="16"/>
                  <w:color w:val="0000EE"/>
                  <w:w w:val="92"/>
                </w:rPr>
                <w:t>Form F-4/A filed August 17, 2021 (file no. 333-257222)).</w:t>
              </w:r>
            </w:hyperlink>
          </w:p>
        </w:tc>
        <w:tc>
          <w:tcPr>
            <w:tcW w:w="6320" w:type="dxa"/>
            <w:vAlign w:val="bottom"/>
            <w:gridSpan w:val="9"/>
          </w:tcPr>
          <w:p>
            <w:pPr>
              <w:spacing w:after="0"/>
              <w:rPr>
                <w:sz w:val="15"/>
                <w:szCs w:val="15"/>
                <w:color w:val="auto"/>
              </w:rPr>
            </w:pPr>
          </w:p>
        </w:tc>
      </w:tr>
      <w:tr>
        <w:trPr>
          <w:trHeight w:val="163"/>
        </w:trPr>
        <w:tc>
          <w:tcPr>
            <w:tcW w:w="11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4"/>
                <w:szCs w:val="14"/>
                <w:color w:val="auto"/>
              </w:rPr>
            </w:pPr>
          </w:p>
        </w:tc>
        <w:tc>
          <w:tcPr>
            <w:tcW w:w="10020" w:type="dxa"/>
            <w:vAlign w:val="bottom"/>
            <w:tcBorders>
              <w:bottom w:val="single" w:sz="8" w:color="0000EE"/>
            </w:tcBorders>
            <w:gridSpan w:val="16"/>
            <w:shd w:val="clear" w:color="auto" w:fill="CCEEFF"/>
          </w:tcPr>
          <w:p>
            <w:pPr>
              <w:spacing w:after="0" w:line="163" w:lineRule="exact"/>
              <w:rPr>
                <w:rFonts w:ascii="Arial" w:cs="Arial" w:eastAsia="Arial" w:hAnsi="Arial"/>
                <w:sz w:val="16"/>
                <w:szCs w:val="16"/>
                <w:color w:val="0000EE"/>
                <w:w w:val="90"/>
              </w:rPr>
            </w:pPr>
            <w:hyperlink r:id="rId139">
              <w:r>
                <w:rPr>
                  <w:rFonts w:ascii="Arial" w:cs="Arial" w:eastAsia="Arial" w:hAnsi="Arial"/>
                  <w:sz w:val="16"/>
                  <w:szCs w:val="16"/>
                  <w:color w:val="0000EE"/>
                  <w:w w:val="90"/>
                </w:rPr>
                <w:t>Specimen Warrant Certificate of Procaps Group, S.A. (incorporated by reference to Exhibit A of Exhibit 4.4 to Procaps Group, S.A.’s Registration Statement</w:t>
              </w:r>
            </w:hyperlink>
          </w:p>
        </w:tc>
      </w:tr>
      <w:tr>
        <w:trPr>
          <w:trHeight w:val="187"/>
        </w:trPr>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900" w:type="dxa"/>
            <w:vAlign w:val="bottom"/>
            <w:tcBorders>
              <w:bottom w:val="single" w:sz="8" w:color="0000EE"/>
            </w:tcBorders>
            <w:gridSpan w:val="8"/>
            <w:shd w:val="clear" w:color="auto" w:fill="CCEEFF"/>
          </w:tcPr>
          <w:p>
            <w:pPr>
              <w:spacing w:after="0" w:line="171" w:lineRule="exact"/>
              <w:rPr>
                <w:rFonts w:ascii="Arial" w:cs="Arial" w:eastAsia="Arial" w:hAnsi="Arial"/>
                <w:sz w:val="16"/>
                <w:szCs w:val="16"/>
                <w:color w:val="0000EE"/>
                <w:w w:val="92"/>
              </w:rPr>
            </w:pPr>
            <w:hyperlink r:id="rId139">
              <w:r>
                <w:rPr>
                  <w:rFonts w:ascii="Arial" w:cs="Arial" w:eastAsia="Arial" w:hAnsi="Arial"/>
                  <w:sz w:val="16"/>
                  <w:szCs w:val="16"/>
                  <w:color w:val="0000EE"/>
                  <w:w w:val="92"/>
                </w:rPr>
                <w:t>on Form F-4/A filed August 17, 2021 (file no. 333-257222)).</w:t>
              </w:r>
            </w:hyperlink>
          </w:p>
        </w:tc>
        <w:tc>
          <w:tcPr>
            <w:tcW w:w="6120" w:type="dxa"/>
            <w:vAlign w:val="bottom"/>
            <w:tcBorders>
              <w:bottom w:val="single" w:sz="8" w:color="CCEEFF"/>
            </w:tcBorders>
            <w:gridSpan w:val="8"/>
            <w:shd w:val="clear" w:color="auto" w:fill="CCEEFF"/>
          </w:tcPr>
          <w:p>
            <w:pPr>
              <w:spacing w:after="0"/>
              <w:rPr>
                <w:sz w:val="16"/>
                <w:szCs w:val="16"/>
                <w:color w:val="auto"/>
              </w:rPr>
            </w:pPr>
          </w:p>
        </w:tc>
      </w:tr>
      <w:tr>
        <w:trPr>
          <w:trHeight w:val="155"/>
        </w:trPr>
        <w:tc>
          <w:tcPr>
            <w:tcW w:w="1140" w:type="dxa"/>
            <w:vAlign w:val="bottom"/>
          </w:tcPr>
          <w:p>
            <w:pPr>
              <w:spacing w:after="0" w:line="155" w:lineRule="exact"/>
              <w:rPr>
                <w:sz w:val="20"/>
                <w:szCs w:val="20"/>
                <w:color w:val="auto"/>
              </w:rPr>
            </w:pPr>
            <w:r>
              <w:rPr>
                <w:rFonts w:ascii="Arial" w:cs="Arial" w:eastAsia="Arial" w:hAnsi="Arial"/>
                <w:sz w:val="16"/>
                <w:szCs w:val="16"/>
                <w:color w:val="auto"/>
              </w:rPr>
              <w:t>2.3</w:t>
            </w:r>
          </w:p>
        </w:tc>
        <w:tc>
          <w:tcPr>
            <w:tcW w:w="100" w:type="dxa"/>
            <w:vAlign w:val="bottom"/>
          </w:tcPr>
          <w:p>
            <w:pPr>
              <w:spacing w:after="0"/>
              <w:rPr>
                <w:sz w:val="13"/>
                <w:szCs w:val="13"/>
                <w:color w:val="auto"/>
              </w:rPr>
            </w:pPr>
          </w:p>
        </w:tc>
        <w:tc>
          <w:tcPr>
            <w:tcW w:w="10020" w:type="dxa"/>
            <w:vAlign w:val="bottom"/>
            <w:tcBorders>
              <w:bottom w:val="single" w:sz="8" w:color="0000EE"/>
            </w:tcBorders>
            <w:gridSpan w:val="16"/>
          </w:tcPr>
          <w:p>
            <w:pPr>
              <w:spacing w:after="0" w:line="155" w:lineRule="exact"/>
              <w:rPr>
                <w:rFonts w:ascii="Arial" w:cs="Arial" w:eastAsia="Arial" w:hAnsi="Arial"/>
                <w:sz w:val="16"/>
                <w:szCs w:val="16"/>
                <w:color w:val="0000EE"/>
                <w:w w:val="90"/>
              </w:rPr>
            </w:pPr>
            <w:hyperlink r:id="rId140">
              <w:r>
                <w:rPr>
                  <w:rFonts w:ascii="Arial" w:cs="Arial" w:eastAsia="Arial" w:hAnsi="Arial"/>
                  <w:sz w:val="16"/>
                  <w:szCs w:val="16"/>
                  <w:color w:val="0000EE"/>
                  <w:w w:val="90"/>
                </w:rPr>
                <w:t>Warrant Agreement, dated October 17, 2019, by and between Union Acquisition Corp. II and Continental Stock Transfer &amp; Trust Company, as warrant agent</w:t>
              </w:r>
            </w:hyperlink>
          </w:p>
        </w:tc>
      </w:tr>
      <w:tr>
        <w:trPr>
          <w:trHeight w:val="171"/>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20" w:type="dxa"/>
            <w:vAlign w:val="bottom"/>
            <w:gridSpan w:val="16"/>
          </w:tcPr>
          <w:p>
            <w:pPr>
              <w:spacing w:after="0" w:line="171" w:lineRule="exact"/>
              <w:rPr>
                <w:rFonts w:ascii="Arial" w:cs="Arial" w:eastAsia="Arial" w:hAnsi="Arial"/>
                <w:sz w:val="16"/>
                <w:szCs w:val="16"/>
                <w:color w:val="0000EE"/>
                <w:w w:val="98"/>
              </w:rPr>
            </w:pPr>
            <w:hyperlink r:id="rId140">
              <w:r>
                <w:rPr>
                  <w:rFonts w:ascii="Arial" w:cs="Arial" w:eastAsia="Arial" w:hAnsi="Arial"/>
                  <w:sz w:val="16"/>
                  <w:szCs w:val="16"/>
                  <w:color w:val="0000EE"/>
                  <w:w w:val="98"/>
                </w:rPr>
                <w:t>(incorporated by reference to Exhibit 4.1 to Union Acquisition Corp. II’s Form 8-K, File No. 001-39089, filed with the SEC on October 21, 2019).</w:t>
              </w:r>
            </w:hyperlink>
          </w:p>
        </w:tc>
      </w:tr>
      <w:tr>
        <w:trPr>
          <w:trHeight w:val="28"/>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1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34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1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4"/>
                <w:szCs w:val="14"/>
                <w:color w:val="auto"/>
              </w:rPr>
            </w:pPr>
          </w:p>
        </w:tc>
        <w:tc>
          <w:tcPr>
            <w:tcW w:w="10020" w:type="dxa"/>
            <w:vAlign w:val="bottom"/>
            <w:tcBorders>
              <w:bottom w:val="single" w:sz="8" w:color="0000EE"/>
            </w:tcBorders>
            <w:gridSpan w:val="16"/>
            <w:shd w:val="clear" w:color="auto" w:fill="CCEEFF"/>
          </w:tcPr>
          <w:p>
            <w:pPr>
              <w:spacing w:after="0" w:line="163" w:lineRule="exact"/>
              <w:rPr>
                <w:rFonts w:ascii="Arial" w:cs="Arial" w:eastAsia="Arial" w:hAnsi="Arial"/>
                <w:sz w:val="16"/>
                <w:szCs w:val="16"/>
                <w:color w:val="0000EE"/>
                <w:w w:val="91"/>
              </w:rPr>
            </w:pPr>
            <w:hyperlink r:id="rId141">
              <w:r>
                <w:rPr>
                  <w:rFonts w:ascii="Arial" w:cs="Arial" w:eastAsia="Arial" w:hAnsi="Arial"/>
                  <w:sz w:val="16"/>
                  <w:szCs w:val="16"/>
                  <w:color w:val="0000EE"/>
                  <w:w w:val="91"/>
                </w:rPr>
                <w:t>Assignment, Assumption and Amendment Agreement with respect to the Warrant Agreement between Union Acquisition Corp. II, Procaps Group, S.A. and</w:t>
              </w:r>
            </w:hyperlink>
          </w:p>
        </w:tc>
      </w:tr>
      <w:tr>
        <w:trPr>
          <w:trHeight w:val="171"/>
        </w:trPr>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20" w:type="dxa"/>
            <w:vAlign w:val="bottom"/>
            <w:gridSpan w:val="16"/>
            <w:shd w:val="clear" w:color="auto" w:fill="CCEEFF"/>
          </w:tcPr>
          <w:p>
            <w:pPr>
              <w:spacing w:after="0" w:line="171" w:lineRule="exact"/>
              <w:rPr>
                <w:rFonts w:ascii="Arial" w:cs="Arial" w:eastAsia="Arial" w:hAnsi="Arial"/>
                <w:sz w:val="16"/>
                <w:szCs w:val="16"/>
                <w:color w:val="0000EE"/>
                <w:w w:val="90"/>
              </w:rPr>
            </w:pPr>
            <w:hyperlink r:id="rId141">
              <w:r>
                <w:rPr>
                  <w:rFonts w:ascii="Arial" w:cs="Arial" w:eastAsia="Arial" w:hAnsi="Arial"/>
                  <w:sz w:val="16"/>
                  <w:szCs w:val="16"/>
                  <w:color w:val="0000EE"/>
                  <w:w w:val="90"/>
                </w:rPr>
                <w:t>Continental Stock Transfer &amp; Trust Company, dated as of September 29, 2021(incorporated by reference to Exhibit 2.5 to Procaps Group, S.A.’s Form 20-F,</w:t>
              </w:r>
            </w:hyperlink>
          </w:p>
        </w:tc>
      </w:tr>
      <w:tr>
        <w:trPr>
          <w:trHeight w:val="187"/>
        </w:trPr>
        <w:tc>
          <w:tcPr>
            <w:tcW w:w="1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0" w:type="dxa"/>
            <w:vAlign w:val="bottom"/>
            <w:tcBorders>
              <w:top w:val="single" w:sz="8" w:color="0000EE"/>
            </w:tcBorders>
            <w:gridSpan w:val="15"/>
            <w:shd w:val="clear" w:color="auto" w:fill="CCEEFF"/>
          </w:tcPr>
          <w:p>
            <w:pPr>
              <w:spacing w:after="0" w:line="171" w:lineRule="exact"/>
              <w:rPr>
                <w:rFonts w:ascii="Arial" w:cs="Arial" w:eastAsia="Arial" w:hAnsi="Arial"/>
                <w:sz w:val="16"/>
                <w:szCs w:val="16"/>
                <w:color w:val="0000EE"/>
              </w:rPr>
            </w:pPr>
            <w:hyperlink r:id="rId141">
              <w:r>
                <w:rPr>
                  <w:rFonts w:ascii="Arial" w:cs="Arial" w:eastAsia="Arial" w:hAnsi="Arial"/>
                  <w:sz w:val="16"/>
                  <w:szCs w:val="16"/>
                  <w:color w:val="0000EE"/>
                </w:rPr>
                <w:t>File No. 001-40851, filed with the SEC on September 30, 2021).</w:t>
              </w:r>
            </w:hyperlink>
          </w:p>
        </w:tc>
        <w:tc>
          <w:tcPr>
            <w:tcW w:w="20" w:type="dxa"/>
            <w:vAlign w:val="bottom"/>
            <w:tcBorders>
              <w:top w:val="single" w:sz="8" w:color="CCEEFF"/>
            </w:tcBorders>
            <w:shd w:val="clear" w:color="auto" w:fill="CCEEFF"/>
          </w:tcPr>
          <w:p>
            <w:pPr>
              <w:spacing w:after="0"/>
              <w:rPr>
                <w:sz w:val="16"/>
                <w:szCs w:val="16"/>
                <w:color w:val="auto"/>
              </w:rPr>
            </w:pPr>
          </w:p>
        </w:tc>
      </w:tr>
      <w:tr>
        <w:trPr>
          <w:trHeight w:val="155"/>
        </w:trPr>
        <w:tc>
          <w:tcPr>
            <w:tcW w:w="1140" w:type="dxa"/>
            <w:vAlign w:val="bottom"/>
            <w:tcBorders>
              <w:top w:val="single" w:sz="8" w:color="CCEEFF"/>
            </w:tcBorders>
          </w:tcPr>
          <w:p>
            <w:pPr>
              <w:spacing w:after="0" w:line="155" w:lineRule="exact"/>
              <w:rPr>
                <w:sz w:val="20"/>
                <w:szCs w:val="20"/>
                <w:color w:val="auto"/>
              </w:rPr>
            </w:pPr>
            <w:r>
              <w:rPr>
                <w:rFonts w:ascii="Arial" w:cs="Arial" w:eastAsia="Arial" w:hAnsi="Arial"/>
                <w:sz w:val="16"/>
                <w:szCs w:val="16"/>
                <w:color w:val="auto"/>
              </w:rPr>
              <w:t>2.5*</w:t>
            </w:r>
          </w:p>
        </w:tc>
        <w:tc>
          <w:tcPr>
            <w:tcW w:w="100" w:type="dxa"/>
            <w:vAlign w:val="bottom"/>
            <w:tcBorders>
              <w:top w:val="single" w:sz="8" w:color="CCEEFF"/>
            </w:tcBorders>
          </w:tcPr>
          <w:p>
            <w:pPr>
              <w:spacing w:after="0"/>
              <w:rPr>
                <w:sz w:val="13"/>
                <w:szCs w:val="13"/>
                <w:color w:val="auto"/>
              </w:rPr>
            </w:pPr>
          </w:p>
        </w:tc>
        <w:tc>
          <w:tcPr>
            <w:tcW w:w="4120" w:type="dxa"/>
            <w:vAlign w:val="bottom"/>
            <w:tcBorders>
              <w:top w:val="single" w:sz="8" w:color="0000EE"/>
            </w:tcBorders>
            <w:gridSpan w:val="9"/>
          </w:tcPr>
          <w:p>
            <w:pPr>
              <w:spacing w:after="0" w:line="155" w:lineRule="exact"/>
              <w:rPr>
                <w:rFonts w:ascii="Arial" w:cs="Arial" w:eastAsia="Arial" w:hAnsi="Arial"/>
                <w:sz w:val="16"/>
                <w:szCs w:val="16"/>
                <w:color w:val="0000EE"/>
              </w:rPr>
            </w:pPr>
            <w:hyperlink r:id="rId142">
              <w:r>
                <w:rPr>
                  <w:rFonts w:ascii="Arial" w:cs="Arial" w:eastAsia="Arial" w:hAnsi="Arial"/>
                  <w:sz w:val="16"/>
                  <w:szCs w:val="16"/>
                  <w:color w:val="0000EE"/>
                </w:rPr>
                <w:t>Description of Securities.</w:t>
              </w:r>
            </w:hyperlink>
          </w:p>
        </w:tc>
        <w:tc>
          <w:tcPr>
            <w:tcW w:w="5900" w:type="dxa"/>
            <w:vAlign w:val="bottom"/>
            <w:tcBorders>
              <w:top w:val="single" w:sz="8" w:color="CCEEFF"/>
            </w:tcBorders>
            <w:gridSpan w:val="7"/>
          </w:tcPr>
          <w:p>
            <w:pPr>
              <w:spacing w:after="0"/>
              <w:rPr>
                <w:sz w:val="13"/>
                <w:szCs w:val="13"/>
                <w:color w:val="auto"/>
              </w:rPr>
            </w:pPr>
          </w:p>
        </w:tc>
      </w:tr>
      <w:tr>
        <w:trPr>
          <w:trHeight w:val="28"/>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1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14"/>
                <w:szCs w:val="14"/>
                <w:color w:val="auto"/>
              </w:rPr>
            </w:pPr>
          </w:p>
        </w:tc>
        <w:tc>
          <w:tcPr>
            <w:tcW w:w="10020" w:type="dxa"/>
            <w:vAlign w:val="bottom"/>
            <w:tcBorders>
              <w:bottom w:val="single" w:sz="8" w:color="0000EE"/>
            </w:tcBorders>
            <w:gridSpan w:val="16"/>
            <w:shd w:val="clear" w:color="auto" w:fill="CCEEFF"/>
          </w:tcPr>
          <w:p>
            <w:pPr>
              <w:spacing w:after="0" w:line="163" w:lineRule="exact"/>
              <w:rPr>
                <w:rFonts w:ascii="Arial" w:cs="Arial" w:eastAsia="Arial" w:hAnsi="Arial"/>
                <w:sz w:val="16"/>
                <w:szCs w:val="16"/>
                <w:color w:val="0000EE"/>
                <w:w w:val="95"/>
              </w:rPr>
            </w:pPr>
            <w:hyperlink r:id="rId143">
              <w:r>
                <w:rPr>
                  <w:rFonts w:ascii="Arial" w:cs="Arial" w:eastAsia="Arial" w:hAnsi="Arial"/>
                  <w:sz w:val="16"/>
                  <w:szCs w:val="16"/>
                  <w:color w:val="0000EE"/>
                  <w:w w:val="95"/>
                </w:rPr>
                <w:t>Business Combination Agreement, dated as of March 31, 2021, by and among Union Acquisition Corp. II, Crynssen Pharma Group Limited, Procaps</w:t>
              </w:r>
            </w:hyperlink>
          </w:p>
        </w:tc>
      </w:tr>
      <w:tr>
        <w:trPr>
          <w:trHeight w:val="171"/>
        </w:trPr>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20" w:type="dxa"/>
            <w:vAlign w:val="bottom"/>
            <w:tcBorders>
              <w:bottom w:val="single" w:sz="8" w:color="0000EE"/>
            </w:tcBorders>
            <w:gridSpan w:val="16"/>
            <w:shd w:val="clear" w:color="auto" w:fill="CCEEFF"/>
          </w:tcPr>
          <w:p>
            <w:pPr>
              <w:spacing w:after="0" w:line="171" w:lineRule="exact"/>
              <w:rPr>
                <w:rFonts w:ascii="Arial" w:cs="Arial" w:eastAsia="Arial" w:hAnsi="Arial"/>
                <w:sz w:val="16"/>
                <w:szCs w:val="16"/>
                <w:color w:val="0000EE"/>
                <w:w w:val="94"/>
              </w:rPr>
            </w:pPr>
            <w:hyperlink r:id="rId143">
              <w:r>
                <w:rPr>
                  <w:rFonts w:ascii="Arial" w:cs="Arial" w:eastAsia="Arial" w:hAnsi="Arial"/>
                  <w:sz w:val="16"/>
                  <w:szCs w:val="16"/>
                  <w:color w:val="0000EE"/>
                  <w:w w:val="94"/>
                </w:rPr>
                <w:t>Group, S.A. and OZLEM Limited (incorporated by reference to Exhibit 2.1 to Union Acquisition Corp. II’s Form 8-K/A, File No. 001-39089, filed with the</w:t>
              </w:r>
            </w:hyperlink>
          </w:p>
        </w:tc>
      </w:tr>
      <w:tr>
        <w:trPr>
          <w:trHeight w:val="187"/>
        </w:trPr>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0000EE"/>
            </w:tcBorders>
            <w:gridSpan w:val="3"/>
            <w:shd w:val="clear" w:color="auto" w:fill="CCEEFF"/>
          </w:tcPr>
          <w:p>
            <w:pPr>
              <w:spacing w:after="0" w:line="171" w:lineRule="exact"/>
              <w:rPr>
                <w:rFonts w:ascii="Arial" w:cs="Arial" w:eastAsia="Arial" w:hAnsi="Arial"/>
                <w:sz w:val="16"/>
                <w:szCs w:val="16"/>
                <w:color w:val="0000EE"/>
                <w:w w:val="91"/>
              </w:rPr>
            </w:pPr>
            <w:hyperlink r:id="rId143">
              <w:r>
                <w:rPr>
                  <w:rFonts w:ascii="Arial" w:cs="Arial" w:eastAsia="Arial" w:hAnsi="Arial"/>
                  <w:sz w:val="16"/>
                  <w:szCs w:val="16"/>
                  <w:color w:val="0000EE"/>
                  <w:w w:val="91"/>
                </w:rPr>
                <w:t>SEC on April 2, 2021).</w:t>
              </w:r>
            </w:hyperlink>
          </w:p>
        </w:tc>
        <w:tc>
          <w:tcPr>
            <w:tcW w:w="8540" w:type="dxa"/>
            <w:vAlign w:val="bottom"/>
            <w:tcBorders>
              <w:bottom w:val="single" w:sz="8" w:color="CCEEFF"/>
            </w:tcBorders>
            <w:gridSpan w:val="13"/>
            <w:shd w:val="clear" w:color="auto" w:fill="CCEEFF"/>
          </w:tcPr>
          <w:p>
            <w:pPr>
              <w:spacing w:after="0"/>
              <w:rPr>
                <w:sz w:val="16"/>
                <w:szCs w:val="16"/>
                <w:color w:val="auto"/>
              </w:rPr>
            </w:pPr>
          </w:p>
        </w:tc>
      </w:tr>
      <w:tr>
        <w:trPr>
          <w:trHeight w:val="155"/>
        </w:trPr>
        <w:tc>
          <w:tcPr>
            <w:tcW w:w="1140" w:type="dxa"/>
            <w:vAlign w:val="bottom"/>
          </w:tcPr>
          <w:p>
            <w:pPr>
              <w:spacing w:after="0" w:line="155" w:lineRule="exact"/>
              <w:rPr>
                <w:sz w:val="20"/>
                <w:szCs w:val="20"/>
                <w:color w:val="auto"/>
              </w:rPr>
            </w:pPr>
            <w:r>
              <w:rPr>
                <w:rFonts w:ascii="Arial" w:cs="Arial" w:eastAsia="Arial" w:hAnsi="Arial"/>
                <w:sz w:val="16"/>
                <w:szCs w:val="16"/>
                <w:color w:val="auto"/>
              </w:rPr>
              <w:t>4.2#</w:t>
            </w:r>
          </w:p>
        </w:tc>
        <w:tc>
          <w:tcPr>
            <w:tcW w:w="100" w:type="dxa"/>
            <w:vAlign w:val="bottom"/>
          </w:tcPr>
          <w:p>
            <w:pPr>
              <w:spacing w:after="0"/>
              <w:rPr>
                <w:sz w:val="13"/>
                <w:szCs w:val="13"/>
                <w:color w:val="auto"/>
              </w:rPr>
            </w:pPr>
          </w:p>
        </w:tc>
        <w:tc>
          <w:tcPr>
            <w:tcW w:w="10020" w:type="dxa"/>
            <w:vAlign w:val="bottom"/>
            <w:tcBorders>
              <w:bottom w:val="single" w:sz="8" w:color="0000EE"/>
            </w:tcBorders>
            <w:gridSpan w:val="16"/>
          </w:tcPr>
          <w:p>
            <w:pPr>
              <w:spacing w:after="0" w:line="155" w:lineRule="exact"/>
              <w:rPr>
                <w:rFonts w:ascii="Arial" w:cs="Arial" w:eastAsia="Arial" w:hAnsi="Arial"/>
                <w:sz w:val="16"/>
                <w:szCs w:val="16"/>
                <w:color w:val="0000EE"/>
                <w:w w:val="94"/>
              </w:rPr>
            </w:pPr>
            <w:hyperlink r:id="rId144">
              <w:r>
                <w:rPr>
                  <w:rFonts w:ascii="Arial" w:cs="Arial" w:eastAsia="Arial" w:hAnsi="Arial"/>
                  <w:sz w:val="16"/>
                  <w:szCs w:val="16"/>
                  <w:color w:val="0000EE"/>
                  <w:w w:val="94"/>
                </w:rPr>
                <w:t>Amendment No. 1 to Business Combination Agreement, dated as of September 29, 2021, by and among Union Acquisition Corp. II, Crynssen Pharma</w:t>
              </w:r>
            </w:hyperlink>
          </w:p>
        </w:tc>
      </w:tr>
      <w:tr>
        <w:trPr>
          <w:trHeight w:val="171"/>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20" w:type="dxa"/>
            <w:vAlign w:val="bottom"/>
            <w:gridSpan w:val="16"/>
          </w:tcPr>
          <w:p>
            <w:pPr>
              <w:spacing w:after="0" w:line="171" w:lineRule="exact"/>
              <w:rPr>
                <w:rFonts w:ascii="Arial" w:cs="Arial" w:eastAsia="Arial" w:hAnsi="Arial"/>
                <w:sz w:val="16"/>
                <w:szCs w:val="16"/>
                <w:color w:val="0000EE"/>
                <w:w w:val="95"/>
              </w:rPr>
            </w:pPr>
            <w:hyperlink r:id="rId144">
              <w:r>
                <w:rPr>
                  <w:rFonts w:ascii="Arial" w:cs="Arial" w:eastAsia="Arial" w:hAnsi="Arial"/>
                  <w:sz w:val="16"/>
                  <w:szCs w:val="16"/>
                  <w:color w:val="0000EE"/>
                  <w:w w:val="95"/>
                </w:rPr>
                <w:t>Group Limited, Procaps Group, S.A. and OZLEM Limited (incorporated by reference to Exhibit 4.2 to Procaps Group, S.A.’s Form 20-F, File No. 001-</w:t>
              </w:r>
            </w:hyperlink>
          </w:p>
        </w:tc>
      </w:tr>
      <w:tr>
        <w:trPr>
          <w:trHeight w:val="171"/>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tcBorders>
              <w:top w:val="single" w:sz="8" w:color="0000EE"/>
            </w:tcBorders>
            <w:gridSpan w:val="15"/>
          </w:tcPr>
          <w:p>
            <w:pPr>
              <w:spacing w:after="0" w:line="171" w:lineRule="exact"/>
              <w:rPr>
                <w:rFonts w:ascii="Arial" w:cs="Arial" w:eastAsia="Arial" w:hAnsi="Arial"/>
                <w:sz w:val="16"/>
                <w:szCs w:val="16"/>
                <w:color w:val="0000EE"/>
              </w:rPr>
            </w:pPr>
            <w:hyperlink r:id="rId144">
              <w:r>
                <w:rPr>
                  <w:rFonts w:ascii="Arial" w:cs="Arial" w:eastAsia="Arial" w:hAnsi="Arial"/>
                  <w:sz w:val="16"/>
                  <w:szCs w:val="16"/>
                  <w:color w:val="0000EE"/>
                </w:rPr>
                <w:t>40851, filed with the SEC on September 30, 2021).</w:t>
              </w:r>
            </w:hyperlink>
          </w:p>
        </w:tc>
        <w:tc>
          <w:tcPr>
            <w:tcW w:w="20" w:type="dxa"/>
            <w:vAlign w:val="bottom"/>
          </w:tcPr>
          <w:p>
            <w:pPr>
              <w:spacing w:after="0"/>
              <w:rPr>
                <w:sz w:val="14"/>
                <w:szCs w:val="14"/>
                <w:color w:val="auto"/>
              </w:rPr>
            </w:pPr>
          </w:p>
        </w:tc>
      </w:tr>
      <w:tr>
        <w:trPr>
          <w:trHeight w:val="28"/>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1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14"/>
                <w:szCs w:val="14"/>
                <w:color w:val="auto"/>
              </w:rPr>
            </w:pPr>
          </w:p>
        </w:tc>
        <w:tc>
          <w:tcPr>
            <w:tcW w:w="10020" w:type="dxa"/>
            <w:vAlign w:val="bottom"/>
            <w:tcBorders>
              <w:bottom w:val="single" w:sz="8" w:color="0000EE"/>
            </w:tcBorders>
            <w:gridSpan w:val="16"/>
            <w:shd w:val="clear" w:color="auto" w:fill="CCEEFF"/>
          </w:tcPr>
          <w:p>
            <w:pPr>
              <w:spacing w:after="0" w:line="163" w:lineRule="exact"/>
              <w:rPr>
                <w:rFonts w:ascii="Arial" w:cs="Arial" w:eastAsia="Arial" w:hAnsi="Arial"/>
                <w:sz w:val="16"/>
                <w:szCs w:val="16"/>
                <w:color w:val="0000EE"/>
                <w:w w:val="96"/>
              </w:rPr>
            </w:pPr>
            <w:hyperlink r:id="rId145">
              <w:r>
                <w:rPr>
                  <w:rFonts w:ascii="Arial" w:cs="Arial" w:eastAsia="Arial" w:hAnsi="Arial"/>
                  <w:sz w:val="16"/>
                  <w:szCs w:val="16"/>
                  <w:color w:val="0000EE"/>
                  <w:w w:val="96"/>
                </w:rPr>
                <w:t>Form of Contribution and Exchange Agreement (incorporated by reference to Exhibit 10.1 to Union Acquisition Corp. II’s Form 8-K/A, File No. 001-</w:t>
              </w:r>
            </w:hyperlink>
          </w:p>
        </w:tc>
      </w:tr>
      <w:tr>
        <w:trPr>
          <w:trHeight w:val="171"/>
        </w:trPr>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20" w:type="dxa"/>
            <w:vAlign w:val="bottom"/>
            <w:gridSpan w:val="16"/>
            <w:shd w:val="clear" w:color="auto" w:fill="CCEEFF"/>
          </w:tcPr>
          <w:p>
            <w:pPr>
              <w:spacing w:after="0" w:line="171" w:lineRule="exact"/>
              <w:rPr>
                <w:rFonts w:ascii="Arial" w:cs="Arial" w:eastAsia="Arial" w:hAnsi="Arial"/>
                <w:sz w:val="16"/>
                <w:szCs w:val="16"/>
                <w:color w:val="0000EE"/>
              </w:rPr>
            </w:pPr>
            <w:hyperlink r:id="rId145">
              <w:r>
                <w:rPr>
                  <w:rFonts w:ascii="Arial" w:cs="Arial" w:eastAsia="Arial" w:hAnsi="Arial"/>
                  <w:sz w:val="16"/>
                  <w:szCs w:val="16"/>
                  <w:color w:val="0000EE"/>
                </w:rPr>
                <w:t>39089, filed with the SEC on April 2, 2021).</w:t>
              </w:r>
            </w:hyperlink>
          </w:p>
        </w:tc>
      </w:tr>
      <w:tr>
        <w:trPr>
          <w:trHeight w:val="36"/>
        </w:trPr>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20" w:type="dxa"/>
            <w:vAlign w:val="bottom"/>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140" w:type="dxa"/>
            <w:vAlign w:val="bottom"/>
          </w:tcPr>
          <w:p>
            <w:pPr>
              <w:spacing w:after="0" w:line="155" w:lineRule="exact"/>
              <w:rPr>
                <w:sz w:val="20"/>
                <w:szCs w:val="20"/>
                <w:color w:val="auto"/>
              </w:rPr>
            </w:pPr>
            <w:r>
              <w:rPr>
                <w:rFonts w:ascii="Arial" w:cs="Arial" w:eastAsia="Arial" w:hAnsi="Arial"/>
                <w:sz w:val="16"/>
                <w:szCs w:val="16"/>
                <w:color w:val="auto"/>
              </w:rPr>
              <w:t>4.4</w:t>
            </w:r>
          </w:p>
        </w:tc>
        <w:tc>
          <w:tcPr>
            <w:tcW w:w="100" w:type="dxa"/>
            <w:vAlign w:val="bottom"/>
          </w:tcPr>
          <w:p>
            <w:pPr>
              <w:spacing w:after="0"/>
              <w:rPr>
                <w:sz w:val="13"/>
                <w:szCs w:val="13"/>
                <w:color w:val="auto"/>
              </w:rPr>
            </w:pPr>
          </w:p>
        </w:tc>
        <w:tc>
          <w:tcPr>
            <w:tcW w:w="10020" w:type="dxa"/>
            <w:vAlign w:val="bottom"/>
            <w:gridSpan w:val="16"/>
          </w:tcPr>
          <w:p>
            <w:pPr>
              <w:spacing w:after="0" w:line="155" w:lineRule="exact"/>
              <w:rPr>
                <w:rFonts w:ascii="Arial" w:cs="Arial" w:eastAsia="Arial" w:hAnsi="Arial"/>
                <w:sz w:val="16"/>
                <w:szCs w:val="16"/>
                <w:color w:val="0000EE"/>
                <w:w w:val="93"/>
              </w:rPr>
            </w:pPr>
            <w:hyperlink r:id="rId146">
              <w:r>
                <w:rPr>
                  <w:rFonts w:ascii="Arial" w:cs="Arial" w:eastAsia="Arial" w:hAnsi="Arial"/>
                  <w:sz w:val="16"/>
                  <w:szCs w:val="16"/>
                  <w:color w:val="0000EE"/>
                  <w:w w:val="93"/>
                </w:rPr>
                <w:t>Form of Subscription Agreement (incorporated by reference to Exhibit 10.2 to Union Acquisition Corp. II’s Form 8-K/A, File No. 001-39089, filed with the</w:t>
              </w:r>
            </w:hyperlink>
          </w:p>
        </w:tc>
      </w:tr>
      <w:tr>
        <w:trPr>
          <w:trHeight w:val="179"/>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top w:val="single" w:sz="8" w:color="0000EE"/>
              <w:bottom w:val="single" w:sz="8" w:color="0000EE"/>
            </w:tcBorders>
            <w:gridSpan w:val="3"/>
          </w:tcPr>
          <w:p>
            <w:pPr>
              <w:spacing w:after="0" w:line="171" w:lineRule="exact"/>
              <w:rPr>
                <w:rFonts w:ascii="Arial" w:cs="Arial" w:eastAsia="Arial" w:hAnsi="Arial"/>
                <w:sz w:val="16"/>
                <w:szCs w:val="16"/>
                <w:color w:val="0000EE"/>
                <w:w w:val="91"/>
              </w:rPr>
            </w:pPr>
            <w:hyperlink r:id="rId146">
              <w:r>
                <w:rPr>
                  <w:rFonts w:ascii="Arial" w:cs="Arial" w:eastAsia="Arial" w:hAnsi="Arial"/>
                  <w:sz w:val="16"/>
                  <w:szCs w:val="16"/>
                  <w:color w:val="0000EE"/>
                  <w:w w:val="91"/>
                </w:rPr>
                <w:t>SEC on April 2, 2021).</w:t>
              </w:r>
            </w:hyperlink>
          </w:p>
        </w:tc>
        <w:tc>
          <w:tcPr>
            <w:tcW w:w="8520" w:type="dxa"/>
            <w:vAlign w:val="bottom"/>
            <w:tcBorders>
              <w:top w:val="single" w:sz="8" w:color="0000EE"/>
            </w:tcBorders>
            <w:gridSpan w:val="12"/>
          </w:tcPr>
          <w:p>
            <w:pPr>
              <w:spacing w:after="0"/>
              <w:rPr>
                <w:sz w:val="15"/>
                <w:szCs w:val="15"/>
                <w:color w:val="auto"/>
              </w:rPr>
            </w:pPr>
          </w:p>
        </w:tc>
        <w:tc>
          <w:tcPr>
            <w:tcW w:w="20" w:type="dxa"/>
            <w:vAlign w:val="bottom"/>
          </w:tcPr>
          <w:p>
            <w:pPr>
              <w:spacing w:after="0"/>
              <w:rPr>
                <w:sz w:val="15"/>
                <w:szCs w:val="15"/>
                <w:color w:val="auto"/>
              </w:rPr>
            </w:pPr>
          </w:p>
        </w:tc>
      </w:tr>
      <w:tr>
        <w:trPr>
          <w:trHeight w:val="163"/>
        </w:trPr>
        <w:tc>
          <w:tcPr>
            <w:tcW w:w="11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14"/>
                <w:szCs w:val="14"/>
                <w:color w:val="auto"/>
              </w:rPr>
            </w:pPr>
          </w:p>
        </w:tc>
        <w:tc>
          <w:tcPr>
            <w:tcW w:w="10020" w:type="dxa"/>
            <w:vAlign w:val="bottom"/>
            <w:tcBorders>
              <w:bottom w:val="single" w:sz="8" w:color="0000EE"/>
            </w:tcBorders>
            <w:gridSpan w:val="16"/>
            <w:shd w:val="clear" w:color="auto" w:fill="CCEEFF"/>
          </w:tcPr>
          <w:p>
            <w:pPr>
              <w:spacing w:after="0" w:line="163" w:lineRule="exact"/>
              <w:rPr>
                <w:rFonts w:ascii="Arial" w:cs="Arial" w:eastAsia="Arial" w:hAnsi="Arial"/>
                <w:sz w:val="16"/>
                <w:szCs w:val="16"/>
                <w:color w:val="0000EE"/>
                <w:w w:val="96"/>
              </w:rPr>
            </w:pPr>
            <w:hyperlink r:id="rId147">
              <w:r>
                <w:rPr>
                  <w:rFonts w:ascii="Arial" w:cs="Arial" w:eastAsia="Arial" w:hAnsi="Arial"/>
                  <w:sz w:val="16"/>
                  <w:szCs w:val="16"/>
                  <w:color w:val="0000EE"/>
                  <w:w w:val="96"/>
                </w:rPr>
                <w:t>Transaction Support Agreement, dated as of March 31, 2021 by and between Crynssen Pharma Group Limited, Procaps Group, S.A., Union Group</w:t>
              </w:r>
            </w:hyperlink>
          </w:p>
        </w:tc>
      </w:tr>
      <w:tr>
        <w:trPr>
          <w:trHeight w:val="171"/>
        </w:trPr>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20" w:type="dxa"/>
            <w:vAlign w:val="bottom"/>
            <w:tcBorders>
              <w:bottom w:val="single" w:sz="8" w:color="0000EE"/>
            </w:tcBorders>
            <w:gridSpan w:val="16"/>
            <w:shd w:val="clear" w:color="auto" w:fill="CCEEFF"/>
          </w:tcPr>
          <w:p>
            <w:pPr>
              <w:spacing w:after="0" w:line="171" w:lineRule="exact"/>
              <w:rPr>
                <w:rFonts w:ascii="Arial" w:cs="Arial" w:eastAsia="Arial" w:hAnsi="Arial"/>
                <w:sz w:val="16"/>
                <w:szCs w:val="16"/>
                <w:color w:val="0000EE"/>
                <w:w w:val="93"/>
              </w:rPr>
            </w:pPr>
            <w:hyperlink r:id="rId147">
              <w:r>
                <w:rPr>
                  <w:rFonts w:ascii="Arial" w:cs="Arial" w:eastAsia="Arial" w:hAnsi="Arial"/>
                  <w:sz w:val="16"/>
                  <w:szCs w:val="16"/>
                  <w:color w:val="0000EE"/>
                  <w:w w:val="93"/>
                </w:rPr>
                <w:t>International Holdings Limited, Union Acquisition Associates II, LLC, Union Acquisition Corp. II and investors in Union Acquisition Corp. II and Crynssen</w:t>
              </w:r>
            </w:hyperlink>
          </w:p>
        </w:tc>
      </w:tr>
      <w:tr>
        <w:trPr>
          <w:trHeight w:val="171"/>
        </w:trPr>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20" w:type="dxa"/>
            <w:vAlign w:val="bottom"/>
            <w:tcBorders>
              <w:bottom w:val="single" w:sz="8" w:color="0000EE"/>
            </w:tcBorders>
            <w:gridSpan w:val="16"/>
            <w:shd w:val="clear" w:color="auto" w:fill="CCEEFF"/>
          </w:tcPr>
          <w:p>
            <w:pPr>
              <w:spacing w:after="0" w:line="171" w:lineRule="exact"/>
              <w:rPr>
                <w:rFonts w:ascii="Arial" w:cs="Arial" w:eastAsia="Arial" w:hAnsi="Arial"/>
                <w:sz w:val="16"/>
                <w:szCs w:val="16"/>
                <w:color w:val="0000EE"/>
                <w:w w:val="94"/>
              </w:rPr>
            </w:pPr>
            <w:hyperlink r:id="rId147">
              <w:r>
                <w:rPr>
                  <w:rFonts w:ascii="Arial" w:cs="Arial" w:eastAsia="Arial" w:hAnsi="Arial"/>
                  <w:sz w:val="16"/>
                  <w:szCs w:val="16"/>
                  <w:color w:val="0000EE"/>
                  <w:w w:val="94"/>
                </w:rPr>
                <w:t>Pharma Group Limited (incorporated by reference to Exhibit 10.3 to Union Acquisition Corp. II’s Form 8-K/A, File No. 001-39089, filed with the SEC on</w:t>
              </w:r>
            </w:hyperlink>
          </w:p>
        </w:tc>
      </w:tr>
      <w:tr>
        <w:trPr>
          <w:trHeight w:val="171"/>
        </w:trPr>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20" w:type="dxa"/>
            <w:vAlign w:val="bottom"/>
            <w:gridSpan w:val="16"/>
            <w:shd w:val="clear" w:color="auto" w:fill="CCEEFF"/>
          </w:tcPr>
          <w:p>
            <w:pPr>
              <w:spacing w:after="0" w:line="171" w:lineRule="exact"/>
              <w:rPr>
                <w:rFonts w:ascii="Arial" w:cs="Arial" w:eastAsia="Arial" w:hAnsi="Arial"/>
                <w:sz w:val="16"/>
                <w:szCs w:val="16"/>
                <w:color w:val="0000EE"/>
              </w:rPr>
            </w:pPr>
            <w:hyperlink r:id="rId147">
              <w:r>
                <w:rPr>
                  <w:rFonts w:ascii="Arial" w:cs="Arial" w:eastAsia="Arial" w:hAnsi="Arial"/>
                  <w:sz w:val="16"/>
                  <w:szCs w:val="16"/>
                  <w:color w:val="0000EE"/>
                </w:rPr>
                <w:t>April 2, 2021).</w:t>
              </w:r>
            </w:hyperlink>
          </w:p>
        </w:tc>
      </w:tr>
      <w:tr>
        <w:trPr>
          <w:trHeight w:val="36"/>
        </w:trPr>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140" w:type="dxa"/>
            <w:vAlign w:val="bottom"/>
          </w:tcPr>
          <w:p>
            <w:pPr>
              <w:spacing w:after="0" w:line="155" w:lineRule="exact"/>
              <w:rPr>
                <w:sz w:val="20"/>
                <w:szCs w:val="20"/>
                <w:color w:val="auto"/>
              </w:rPr>
            </w:pPr>
            <w:r>
              <w:rPr>
                <w:rFonts w:ascii="Arial" w:cs="Arial" w:eastAsia="Arial" w:hAnsi="Arial"/>
                <w:sz w:val="16"/>
                <w:szCs w:val="16"/>
                <w:color w:val="auto"/>
              </w:rPr>
              <w:t>4.6</w:t>
            </w:r>
          </w:p>
        </w:tc>
        <w:tc>
          <w:tcPr>
            <w:tcW w:w="100" w:type="dxa"/>
            <w:vAlign w:val="bottom"/>
          </w:tcPr>
          <w:p>
            <w:pPr>
              <w:spacing w:after="0"/>
              <w:rPr>
                <w:sz w:val="13"/>
                <w:szCs w:val="13"/>
                <w:color w:val="auto"/>
              </w:rPr>
            </w:pPr>
          </w:p>
        </w:tc>
        <w:tc>
          <w:tcPr>
            <w:tcW w:w="10020" w:type="dxa"/>
            <w:vAlign w:val="bottom"/>
            <w:tcBorders>
              <w:bottom w:val="single" w:sz="8" w:color="0000EE"/>
            </w:tcBorders>
            <w:gridSpan w:val="16"/>
          </w:tcPr>
          <w:p>
            <w:pPr>
              <w:spacing w:after="0" w:line="155" w:lineRule="exact"/>
              <w:rPr>
                <w:rFonts w:ascii="Arial" w:cs="Arial" w:eastAsia="Arial" w:hAnsi="Arial"/>
                <w:sz w:val="16"/>
                <w:szCs w:val="16"/>
                <w:color w:val="0000EE"/>
                <w:w w:val="95"/>
              </w:rPr>
            </w:pPr>
            <w:hyperlink r:id="rId148">
              <w:r>
                <w:rPr>
                  <w:rFonts w:ascii="Arial" w:cs="Arial" w:eastAsia="Arial" w:hAnsi="Arial"/>
                  <w:sz w:val="16"/>
                  <w:szCs w:val="16"/>
                  <w:color w:val="0000EE"/>
                  <w:w w:val="95"/>
                </w:rPr>
                <w:t>Registration Rights and Lock-Up Agreement, dated September 29, 2021, by and between Procaps Group, S.A., Union Group International Holdings</w:t>
              </w:r>
            </w:hyperlink>
          </w:p>
        </w:tc>
      </w:tr>
      <w:tr>
        <w:trPr>
          <w:trHeight w:val="171"/>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20" w:type="dxa"/>
            <w:vAlign w:val="bottom"/>
            <w:tcBorders>
              <w:bottom w:val="single" w:sz="8" w:color="0000EE"/>
            </w:tcBorders>
            <w:gridSpan w:val="16"/>
          </w:tcPr>
          <w:p>
            <w:pPr>
              <w:spacing w:after="0" w:line="171" w:lineRule="exact"/>
              <w:rPr>
                <w:rFonts w:ascii="Arial" w:cs="Arial" w:eastAsia="Arial" w:hAnsi="Arial"/>
                <w:sz w:val="16"/>
                <w:szCs w:val="16"/>
                <w:color w:val="0000EE"/>
                <w:w w:val="92"/>
              </w:rPr>
            </w:pPr>
            <w:hyperlink r:id="rId148">
              <w:r>
                <w:rPr>
                  <w:rFonts w:ascii="Arial" w:cs="Arial" w:eastAsia="Arial" w:hAnsi="Arial"/>
                  <w:sz w:val="16"/>
                  <w:szCs w:val="16"/>
                  <w:color w:val="0000EE"/>
                  <w:w w:val="92"/>
                </w:rPr>
                <w:t>Limited, Union Acquisition Associates II, LLC and the persons and entities listed on Exhibit A thereto (incorporated by reference to Exhibit 4.7 to Procaps</w:t>
              </w:r>
            </w:hyperlink>
          </w:p>
        </w:tc>
      </w:tr>
      <w:tr>
        <w:trPr>
          <w:trHeight w:val="171"/>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20" w:type="dxa"/>
            <w:vAlign w:val="bottom"/>
            <w:gridSpan w:val="16"/>
          </w:tcPr>
          <w:p>
            <w:pPr>
              <w:spacing w:after="0" w:line="171" w:lineRule="exact"/>
              <w:rPr>
                <w:rFonts w:ascii="Arial" w:cs="Arial" w:eastAsia="Arial" w:hAnsi="Arial"/>
                <w:sz w:val="16"/>
                <w:szCs w:val="16"/>
                <w:color w:val="0000EE"/>
              </w:rPr>
            </w:pPr>
            <w:hyperlink r:id="rId148">
              <w:r>
                <w:rPr>
                  <w:rFonts w:ascii="Arial" w:cs="Arial" w:eastAsia="Arial" w:hAnsi="Arial"/>
                  <w:sz w:val="16"/>
                  <w:szCs w:val="16"/>
                  <w:color w:val="0000EE"/>
                </w:rPr>
                <w:t>Group, S.A.’s Form 20-F, File No. 001-40851, filed with the SEC on September 30, 2021).</w:t>
              </w:r>
            </w:hyperlink>
          </w:p>
        </w:tc>
      </w:tr>
      <w:tr>
        <w:trPr>
          <w:trHeight w:val="28"/>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1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1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14"/>
                <w:szCs w:val="14"/>
                <w:color w:val="auto"/>
              </w:rPr>
            </w:pPr>
          </w:p>
        </w:tc>
        <w:tc>
          <w:tcPr>
            <w:tcW w:w="10020" w:type="dxa"/>
            <w:vAlign w:val="bottom"/>
            <w:tcBorders>
              <w:bottom w:val="single" w:sz="8" w:color="0000EE"/>
            </w:tcBorders>
            <w:gridSpan w:val="16"/>
            <w:shd w:val="clear" w:color="auto" w:fill="CCEEFF"/>
          </w:tcPr>
          <w:p>
            <w:pPr>
              <w:spacing w:after="0" w:line="163" w:lineRule="exact"/>
              <w:rPr>
                <w:rFonts w:ascii="Arial" w:cs="Arial" w:eastAsia="Arial" w:hAnsi="Arial"/>
                <w:sz w:val="16"/>
                <w:szCs w:val="16"/>
                <w:color w:val="0000EE"/>
                <w:w w:val="92"/>
              </w:rPr>
            </w:pPr>
            <w:hyperlink r:id="rId149">
              <w:r>
                <w:rPr>
                  <w:rFonts w:ascii="Arial" w:cs="Arial" w:eastAsia="Arial" w:hAnsi="Arial"/>
                  <w:sz w:val="16"/>
                  <w:szCs w:val="16"/>
                  <w:color w:val="0000EE"/>
                  <w:w w:val="92"/>
                </w:rPr>
                <w:t>Nomination Agreement, dated September 29, 2021, by and between Procaps Group, S.A., Union Group International Holdings Limited, Union Acquisition</w:t>
              </w:r>
            </w:hyperlink>
          </w:p>
        </w:tc>
      </w:tr>
      <w:tr>
        <w:trPr>
          <w:trHeight w:val="171"/>
        </w:trPr>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20" w:type="dxa"/>
            <w:vAlign w:val="bottom"/>
            <w:tcBorders>
              <w:bottom w:val="single" w:sz="8" w:color="0000EE"/>
            </w:tcBorders>
            <w:gridSpan w:val="16"/>
            <w:shd w:val="clear" w:color="auto" w:fill="CCEEFF"/>
          </w:tcPr>
          <w:p>
            <w:pPr>
              <w:spacing w:after="0" w:line="171" w:lineRule="exact"/>
              <w:rPr>
                <w:rFonts w:ascii="Arial" w:cs="Arial" w:eastAsia="Arial" w:hAnsi="Arial"/>
                <w:sz w:val="16"/>
                <w:szCs w:val="16"/>
                <w:color w:val="0000EE"/>
                <w:w w:val="92"/>
              </w:rPr>
            </w:pPr>
            <w:hyperlink r:id="rId149">
              <w:r>
                <w:rPr>
                  <w:rFonts w:ascii="Arial" w:cs="Arial" w:eastAsia="Arial" w:hAnsi="Arial"/>
                  <w:sz w:val="16"/>
                  <w:szCs w:val="16"/>
                  <w:color w:val="0000EE"/>
                  <w:w w:val="92"/>
                </w:rPr>
                <w:t>Associates II, LLC, and the persons and entities listed on Exhibit A thereto (incorporated by reference to Exhibit 4.8 to Procaps Group, S.A.’s Form 20-F,</w:t>
              </w:r>
            </w:hyperlink>
          </w:p>
        </w:tc>
      </w:tr>
      <w:tr>
        <w:trPr>
          <w:trHeight w:val="171"/>
        </w:trPr>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20" w:type="dxa"/>
            <w:vAlign w:val="bottom"/>
            <w:gridSpan w:val="16"/>
            <w:shd w:val="clear" w:color="auto" w:fill="CCEEFF"/>
          </w:tcPr>
          <w:p>
            <w:pPr>
              <w:spacing w:after="0" w:line="171" w:lineRule="exact"/>
              <w:rPr>
                <w:rFonts w:ascii="Arial" w:cs="Arial" w:eastAsia="Arial" w:hAnsi="Arial"/>
                <w:sz w:val="16"/>
                <w:szCs w:val="16"/>
                <w:color w:val="0000EE"/>
              </w:rPr>
            </w:pPr>
            <w:hyperlink r:id="rId149">
              <w:r>
                <w:rPr>
                  <w:rFonts w:ascii="Arial" w:cs="Arial" w:eastAsia="Arial" w:hAnsi="Arial"/>
                  <w:sz w:val="16"/>
                  <w:szCs w:val="16"/>
                  <w:color w:val="0000EE"/>
                </w:rPr>
                <w:t>File No. 001-40851, filed with the SEC on September 30, 2021).</w:t>
              </w:r>
            </w:hyperlink>
          </w:p>
        </w:tc>
      </w:tr>
      <w:tr>
        <w:trPr>
          <w:trHeight w:val="36"/>
        </w:trPr>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140" w:type="dxa"/>
            <w:vAlign w:val="bottom"/>
          </w:tcPr>
          <w:p>
            <w:pPr>
              <w:spacing w:after="0" w:line="155" w:lineRule="exact"/>
              <w:rPr>
                <w:sz w:val="20"/>
                <w:szCs w:val="20"/>
                <w:color w:val="auto"/>
              </w:rPr>
            </w:pPr>
            <w:r>
              <w:rPr>
                <w:rFonts w:ascii="Arial" w:cs="Arial" w:eastAsia="Arial" w:hAnsi="Arial"/>
                <w:sz w:val="16"/>
                <w:szCs w:val="16"/>
                <w:color w:val="auto"/>
              </w:rPr>
              <w:t>4.8</w:t>
            </w:r>
          </w:p>
        </w:tc>
        <w:tc>
          <w:tcPr>
            <w:tcW w:w="100" w:type="dxa"/>
            <w:vAlign w:val="bottom"/>
          </w:tcPr>
          <w:p>
            <w:pPr>
              <w:spacing w:after="0"/>
              <w:rPr>
                <w:sz w:val="13"/>
                <w:szCs w:val="13"/>
                <w:color w:val="auto"/>
              </w:rPr>
            </w:pPr>
          </w:p>
        </w:tc>
        <w:tc>
          <w:tcPr>
            <w:tcW w:w="10020" w:type="dxa"/>
            <w:vAlign w:val="bottom"/>
            <w:tcBorders>
              <w:bottom w:val="single" w:sz="8" w:color="0000EE"/>
            </w:tcBorders>
            <w:gridSpan w:val="16"/>
          </w:tcPr>
          <w:p>
            <w:pPr>
              <w:spacing w:after="0" w:line="155" w:lineRule="exact"/>
              <w:rPr>
                <w:rFonts w:ascii="Arial" w:cs="Arial" w:eastAsia="Arial" w:hAnsi="Arial"/>
                <w:sz w:val="16"/>
                <w:szCs w:val="16"/>
                <w:color w:val="0000EE"/>
                <w:w w:val="91"/>
              </w:rPr>
            </w:pPr>
            <w:hyperlink r:id="rId150">
              <w:r>
                <w:rPr>
                  <w:rFonts w:ascii="Arial" w:cs="Arial" w:eastAsia="Arial" w:hAnsi="Arial"/>
                  <w:sz w:val="16"/>
                  <w:szCs w:val="16"/>
                  <w:color w:val="0000EE"/>
                  <w:w w:val="91"/>
                </w:rPr>
                <w:t>Share Forfeiture Agreement, dated as of September 29, 2021, by and among Union Acquisition Corp. II, Crynssen Pharma Group Limited, Procaps Group,</w:t>
              </w:r>
            </w:hyperlink>
          </w:p>
        </w:tc>
      </w:tr>
      <w:tr>
        <w:trPr>
          <w:trHeight w:val="171"/>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20" w:type="dxa"/>
            <w:vAlign w:val="bottom"/>
            <w:gridSpan w:val="16"/>
          </w:tcPr>
          <w:p>
            <w:pPr>
              <w:spacing w:after="0" w:line="171" w:lineRule="exact"/>
              <w:rPr>
                <w:rFonts w:ascii="Arial" w:cs="Arial" w:eastAsia="Arial" w:hAnsi="Arial"/>
                <w:sz w:val="16"/>
                <w:szCs w:val="16"/>
                <w:color w:val="0000EE"/>
                <w:w w:val="94"/>
              </w:rPr>
            </w:pPr>
            <w:hyperlink r:id="rId150">
              <w:r>
                <w:rPr>
                  <w:rFonts w:ascii="Arial" w:cs="Arial" w:eastAsia="Arial" w:hAnsi="Arial"/>
                  <w:sz w:val="16"/>
                  <w:szCs w:val="16"/>
                  <w:color w:val="0000EE"/>
                  <w:w w:val="94"/>
                </w:rPr>
                <w:t>S.A., Union Acquisition Associates II, LLC and Union Group International Holdings Limited (incorporated by reference to Exhibit 4.9 to Procaps Group,</w:t>
              </w:r>
            </w:hyperlink>
          </w:p>
        </w:tc>
      </w:tr>
      <w:tr>
        <w:trPr>
          <w:trHeight w:val="179"/>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tcBorders>
              <w:top w:val="single" w:sz="8" w:color="0000EE"/>
            </w:tcBorders>
            <w:gridSpan w:val="15"/>
          </w:tcPr>
          <w:p>
            <w:pPr>
              <w:spacing w:after="0" w:line="171" w:lineRule="exact"/>
              <w:rPr>
                <w:rFonts w:ascii="Arial" w:cs="Arial" w:eastAsia="Arial" w:hAnsi="Arial"/>
                <w:sz w:val="16"/>
                <w:szCs w:val="16"/>
                <w:color w:val="0000EE"/>
              </w:rPr>
            </w:pPr>
            <w:hyperlink r:id="rId150">
              <w:r>
                <w:rPr>
                  <w:rFonts w:ascii="Arial" w:cs="Arial" w:eastAsia="Arial" w:hAnsi="Arial"/>
                  <w:sz w:val="16"/>
                  <w:szCs w:val="16"/>
                  <w:color w:val="0000EE"/>
                </w:rPr>
                <w:t>S.A.’s Form 20-F, File No. 001-40851, filed with the SEC on September 30, 2021).</w:t>
              </w:r>
            </w:hyperlink>
          </w:p>
        </w:tc>
        <w:tc>
          <w:tcPr>
            <w:tcW w:w="20" w:type="dxa"/>
            <w:vAlign w:val="bottom"/>
          </w:tcPr>
          <w:p>
            <w:pPr>
              <w:spacing w:after="0"/>
              <w:rPr>
                <w:sz w:val="15"/>
                <w:szCs w:val="15"/>
                <w:color w:val="auto"/>
              </w:rPr>
            </w:pPr>
          </w:p>
        </w:tc>
      </w:tr>
      <w:tr>
        <w:trPr>
          <w:trHeight w:val="179"/>
        </w:trPr>
        <w:tc>
          <w:tcPr>
            <w:tcW w:w="11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top w:val="single" w:sz="8" w:color="0000EE"/>
              <w:bottom w:val="single" w:sz="8" w:color="0000EE"/>
            </w:tcBorders>
            <w:gridSpan w:val="2"/>
            <w:shd w:val="clear" w:color="auto" w:fill="CCEEFF"/>
          </w:tcPr>
          <w:p>
            <w:pPr>
              <w:spacing w:after="0" w:line="163" w:lineRule="exact"/>
              <w:rPr>
                <w:rFonts w:ascii="Arial" w:cs="Arial" w:eastAsia="Arial" w:hAnsi="Arial"/>
                <w:sz w:val="16"/>
                <w:szCs w:val="16"/>
                <w:color w:val="0000EE"/>
                <w:w w:val="90"/>
              </w:rPr>
            </w:pPr>
            <w:hyperlink r:id="rId151">
              <w:r>
                <w:rPr>
                  <w:rFonts w:ascii="Arial" w:cs="Arial" w:eastAsia="Arial" w:hAnsi="Arial"/>
                  <w:sz w:val="16"/>
                  <w:szCs w:val="16"/>
                  <w:color w:val="0000EE"/>
                  <w:w w:val="90"/>
                </w:rPr>
                <w:t>List of Subsidiaries.</w:t>
              </w:r>
            </w:hyperlink>
          </w:p>
        </w:tc>
        <w:tc>
          <w:tcPr>
            <w:tcW w:w="4020" w:type="dxa"/>
            <w:vAlign w:val="bottom"/>
            <w:tcBorders>
              <w:top w:val="single" w:sz="8" w:color="0000EE"/>
              <w:bottom w:val="single" w:sz="8" w:color="CCEEFF"/>
            </w:tcBorders>
            <w:gridSpan w:val="8"/>
            <w:shd w:val="clear" w:color="auto" w:fill="CCEEFF"/>
          </w:tcPr>
          <w:p>
            <w:pPr>
              <w:spacing w:after="0"/>
              <w:rPr>
                <w:sz w:val="15"/>
                <w:szCs w:val="15"/>
                <w:color w:val="auto"/>
              </w:rPr>
            </w:pPr>
          </w:p>
        </w:tc>
        <w:tc>
          <w:tcPr>
            <w:tcW w:w="4720" w:type="dxa"/>
            <w:vAlign w:val="bottom"/>
            <w:tcBorders>
              <w:bottom w:val="single" w:sz="8" w:color="CCEEFF"/>
            </w:tcBorders>
            <w:gridSpan w:val="6"/>
            <w:shd w:val="clear" w:color="auto" w:fill="CCEEFF"/>
          </w:tcPr>
          <w:p>
            <w:pPr>
              <w:spacing w:after="0"/>
              <w:rPr>
                <w:sz w:val="15"/>
                <w:szCs w:val="15"/>
                <w:color w:val="auto"/>
              </w:rPr>
            </w:pPr>
          </w:p>
        </w:tc>
      </w:tr>
      <w:tr>
        <w:trPr>
          <w:trHeight w:val="155"/>
        </w:trPr>
        <w:tc>
          <w:tcPr>
            <w:tcW w:w="1140" w:type="dxa"/>
            <w:vAlign w:val="bottom"/>
          </w:tcPr>
          <w:p>
            <w:pPr>
              <w:spacing w:after="0" w:line="155" w:lineRule="exact"/>
              <w:rPr>
                <w:sz w:val="20"/>
                <w:szCs w:val="20"/>
                <w:color w:val="auto"/>
              </w:rPr>
            </w:pPr>
            <w:r>
              <w:rPr>
                <w:rFonts w:ascii="Arial" w:cs="Arial" w:eastAsia="Arial" w:hAnsi="Arial"/>
                <w:sz w:val="16"/>
                <w:szCs w:val="16"/>
                <w:color w:val="auto"/>
              </w:rPr>
              <w:t>12.1**</w:t>
            </w:r>
          </w:p>
        </w:tc>
        <w:tc>
          <w:tcPr>
            <w:tcW w:w="100" w:type="dxa"/>
            <w:vAlign w:val="bottom"/>
          </w:tcPr>
          <w:p>
            <w:pPr>
              <w:spacing w:after="0"/>
              <w:rPr>
                <w:sz w:val="13"/>
                <w:szCs w:val="13"/>
                <w:color w:val="auto"/>
              </w:rPr>
            </w:pPr>
          </w:p>
        </w:tc>
        <w:tc>
          <w:tcPr>
            <w:tcW w:w="10020" w:type="dxa"/>
            <w:vAlign w:val="bottom"/>
            <w:gridSpan w:val="16"/>
          </w:tcPr>
          <w:p>
            <w:pPr>
              <w:spacing w:after="0" w:line="155" w:lineRule="exact"/>
              <w:rPr>
                <w:rFonts w:ascii="Arial" w:cs="Arial" w:eastAsia="Arial" w:hAnsi="Arial"/>
                <w:sz w:val="16"/>
                <w:szCs w:val="16"/>
                <w:color w:val="0000EE"/>
              </w:rPr>
            </w:pPr>
            <w:hyperlink w:anchor="page205">
              <w:r>
                <w:rPr>
                  <w:rFonts w:ascii="Arial" w:cs="Arial" w:eastAsia="Arial" w:hAnsi="Arial"/>
                  <w:sz w:val="16"/>
                  <w:szCs w:val="16"/>
                  <w:color w:val="0000EE"/>
                </w:rPr>
                <w:t>Certification of Ruben Minski, Chief Executive Officer of Procaps, pursuant to Section 302 of the Sarbanes Oxley Act of 2002.</w:t>
              </w:r>
            </w:hyperlink>
          </w:p>
        </w:tc>
      </w:tr>
      <w:tr>
        <w:trPr>
          <w:trHeight w:val="28"/>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1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34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9"/>
        </w:trPr>
        <w:tc>
          <w:tcPr>
            <w:tcW w:w="11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15"/>
                <w:szCs w:val="15"/>
                <w:color w:val="auto"/>
              </w:rPr>
            </w:pPr>
          </w:p>
        </w:tc>
        <w:tc>
          <w:tcPr>
            <w:tcW w:w="8640" w:type="dxa"/>
            <w:vAlign w:val="bottom"/>
            <w:tcBorders>
              <w:bottom w:val="single" w:sz="8" w:color="0000EE"/>
            </w:tcBorders>
            <w:gridSpan w:val="13"/>
            <w:shd w:val="clear" w:color="auto" w:fill="CCEEFF"/>
          </w:tcPr>
          <w:p>
            <w:pPr>
              <w:spacing w:after="0" w:line="163" w:lineRule="exact"/>
              <w:rPr>
                <w:rFonts w:ascii="Arial" w:cs="Arial" w:eastAsia="Arial" w:hAnsi="Arial"/>
                <w:sz w:val="16"/>
                <w:szCs w:val="16"/>
                <w:color w:val="0000EE"/>
                <w:w w:val="91"/>
              </w:rPr>
            </w:pPr>
            <w:hyperlink w:anchor="page206">
              <w:r>
                <w:rPr>
                  <w:rFonts w:ascii="Arial" w:cs="Arial" w:eastAsia="Arial" w:hAnsi="Arial"/>
                  <w:sz w:val="16"/>
                  <w:szCs w:val="16"/>
                  <w:color w:val="0000EE"/>
                  <w:w w:val="91"/>
                </w:rPr>
                <w:t>Certification of Patricio Vargas Muñoz, Chief Financial Officer of Procaps, pursuant to Section 302 of the Sarbanes Oxley Act of 2002.</w:t>
              </w:r>
            </w:hyperlink>
          </w:p>
        </w:tc>
        <w:tc>
          <w:tcPr>
            <w:tcW w:w="1380" w:type="dxa"/>
            <w:vAlign w:val="bottom"/>
            <w:tcBorders>
              <w:bottom w:val="single" w:sz="8" w:color="CCEEFF"/>
            </w:tcBorders>
            <w:gridSpan w:val="3"/>
            <w:shd w:val="clear" w:color="auto" w:fill="CCEEFF"/>
          </w:tcPr>
          <w:p>
            <w:pPr>
              <w:spacing w:after="0"/>
              <w:rPr>
                <w:sz w:val="15"/>
                <w:szCs w:val="15"/>
                <w:color w:val="auto"/>
              </w:rPr>
            </w:pPr>
          </w:p>
        </w:tc>
      </w:tr>
      <w:tr>
        <w:trPr>
          <w:trHeight w:val="155"/>
        </w:trPr>
        <w:tc>
          <w:tcPr>
            <w:tcW w:w="1140" w:type="dxa"/>
            <w:vAlign w:val="bottom"/>
          </w:tcPr>
          <w:p>
            <w:pPr>
              <w:spacing w:after="0" w:line="155" w:lineRule="exact"/>
              <w:rPr>
                <w:sz w:val="20"/>
                <w:szCs w:val="20"/>
                <w:color w:val="auto"/>
              </w:rPr>
            </w:pPr>
            <w:r>
              <w:rPr>
                <w:rFonts w:ascii="Arial" w:cs="Arial" w:eastAsia="Arial" w:hAnsi="Arial"/>
                <w:sz w:val="16"/>
                <w:szCs w:val="16"/>
                <w:color w:val="auto"/>
              </w:rPr>
              <w:t>13.1**</w:t>
            </w:r>
          </w:p>
        </w:tc>
        <w:tc>
          <w:tcPr>
            <w:tcW w:w="100" w:type="dxa"/>
            <w:vAlign w:val="bottom"/>
          </w:tcPr>
          <w:p>
            <w:pPr>
              <w:spacing w:after="0"/>
              <w:rPr>
                <w:sz w:val="13"/>
                <w:szCs w:val="13"/>
                <w:color w:val="auto"/>
              </w:rPr>
            </w:pPr>
          </w:p>
        </w:tc>
        <w:tc>
          <w:tcPr>
            <w:tcW w:w="10020" w:type="dxa"/>
            <w:vAlign w:val="bottom"/>
            <w:gridSpan w:val="16"/>
          </w:tcPr>
          <w:p>
            <w:pPr>
              <w:spacing w:after="0" w:line="155" w:lineRule="exact"/>
              <w:rPr>
                <w:rFonts w:ascii="Arial" w:cs="Arial" w:eastAsia="Arial" w:hAnsi="Arial"/>
                <w:sz w:val="16"/>
                <w:szCs w:val="16"/>
                <w:color w:val="0000EE"/>
              </w:rPr>
            </w:pPr>
            <w:hyperlink w:anchor="page207">
              <w:r>
                <w:rPr>
                  <w:rFonts w:ascii="Arial" w:cs="Arial" w:eastAsia="Arial" w:hAnsi="Arial"/>
                  <w:sz w:val="16"/>
                  <w:szCs w:val="16"/>
                  <w:color w:val="0000EE"/>
                </w:rPr>
                <w:t>Certification of Ruben Minski, Chief Executive Officer of Procaps, pursuant to Section 906 of the Sarbanes Oxley Act of 2002.</w:t>
              </w:r>
            </w:hyperlink>
          </w:p>
        </w:tc>
      </w:tr>
      <w:tr>
        <w:trPr>
          <w:trHeight w:val="28"/>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1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34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9"/>
        </w:trPr>
        <w:tc>
          <w:tcPr>
            <w:tcW w:w="11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15"/>
                <w:szCs w:val="15"/>
                <w:color w:val="auto"/>
              </w:rPr>
            </w:pPr>
          </w:p>
        </w:tc>
        <w:tc>
          <w:tcPr>
            <w:tcW w:w="8640" w:type="dxa"/>
            <w:vAlign w:val="bottom"/>
            <w:tcBorders>
              <w:bottom w:val="single" w:sz="8" w:color="0000EE"/>
            </w:tcBorders>
            <w:gridSpan w:val="13"/>
            <w:shd w:val="clear" w:color="auto" w:fill="CCEEFF"/>
          </w:tcPr>
          <w:p>
            <w:pPr>
              <w:spacing w:after="0" w:line="163" w:lineRule="exact"/>
              <w:rPr>
                <w:rFonts w:ascii="Arial" w:cs="Arial" w:eastAsia="Arial" w:hAnsi="Arial"/>
                <w:sz w:val="16"/>
                <w:szCs w:val="16"/>
                <w:color w:val="0000EE"/>
                <w:w w:val="91"/>
              </w:rPr>
            </w:pPr>
            <w:hyperlink w:anchor="page208">
              <w:r>
                <w:rPr>
                  <w:rFonts w:ascii="Arial" w:cs="Arial" w:eastAsia="Arial" w:hAnsi="Arial"/>
                  <w:sz w:val="16"/>
                  <w:szCs w:val="16"/>
                  <w:color w:val="0000EE"/>
                  <w:w w:val="91"/>
                </w:rPr>
                <w:t>Certification of Patricio Vargas Muñoz, Chief Financial Officer of Procaps, pursuant to Section 906 of the Sarbanes Oxley Act of 2002.</w:t>
              </w:r>
            </w:hyperlink>
          </w:p>
        </w:tc>
        <w:tc>
          <w:tcPr>
            <w:tcW w:w="1380" w:type="dxa"/>
            <w:vAlign w:val="bottom"/>
            <w:tcBorders>
              <w:bottom w:val="single" w:sz="8" w:color="CCEEFF"/>
            </w:tcBorders>
            <w:gridSpan w:val="3"/>
            <w:shd w:val="clear" w:color="auto" w:fill="CCEEFF"/>
          </w:tcPr>
          <w:p>
            <w:pPr>
              <w:spacing w:after="0"/>
              <w:rPr>
                <w:sz w:val="15"/>
                <w:szCs w:val="15"/>
                <w:color w:val="auto"/>
              </w:rPr>
            </w:pPr>
          </w:p>
        </w:tc>
      </w:tr>
      <w:tr>
        <w:trPr>
          <w:trHeight w:val="191"/>
        </w:trPr>
        <w:tc>
          <w:tcPr>
            <w:tcW w:w="1240" w:type="dxa"/>
            <w:vAlign w:val="bottom"/>
            <w:gridSpan w:val="2"/>
          </w:tcPr>
          <w:p>
            <w:pPr>
              <w:spacing w:after="0"/>
              <w:rPr>
                <w:sz w:val="20"/>
                <w:szCs w:val="20"/>
                <w:color w:val="auto"/>
              </w:rPr>
            </w:pPr>
            <w:r>
              <w:rPr>
                <w:rFonts w:ascii="Arial" w:cs="Arial" w:eastAsia="Arial" w:hAnsi="Arial"/>
                <w:sz w:val="16"/>
                <w:szCs w:val="16"/>
                <w:color w:val="auto"/>
              </w:rPr>
              <w:t>101.INS**</w:t>
            </w:r>
          </w:p>
        </w:tc>
        <w:tc>
          <w:tcPr>
            <w:tcW w:w="10020" w:type="dxa"/>
            <w:vAlign w:val="bottom"/>
            <w:gridSpan w:val="16"/>
          </w:tcPr>
          <w:p>
            <w:pPr>
              <w:spacing w:after="0"/>
              <w:rPr>
                <w:sz w:val="20"/>
                <w:szCs w:val="20"/>
                <w:color w:val="auto"/>
              </w:rPr>
            </w:pPr>
            <w:r>
              <w:rPr>
                <w:rFonts w:ascii="Arial" w:cs="Arial" w:eastAsia="Arial" w:hAnsi="Arial"/>
                <w:sz w:val="16"/>
                <w:szCs w:val="16"/>
                <w:color w:val="auto"/>
              </w:rPr>
              <w:t>Inline XBRL Instance Document.</w:t>
            </w:r>
          </w:p>
        </w:tc>
      </w:tr>
      <w:tr>
        <w:trPr>
          <w:trHeight w:val="191"/>
        </w:trPr>
        <w:tc>
          <w:tcPr>
            <w:tcW w:w="1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101.SCH**</w:t>
            </w:r>
          </w:p>
        </w:tc>
        <w:tc>
          <w:tcPr>
            <w:tcW w:w="10020" w:type="dxa"/>
            <w:vAlign w:val="bottom"/>
            <w:gridSpan w:val="16"/>
            <w:shd w:val="clear" w:color="auto" w:fill="CCEEFF"/>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191"/>
        </w:trPr>
        <w:tc>
          <w:tcPr>
            <w:tcW w:w="1240" w:type="dxa"/>
            <w:vAlign w:val="bottom"/>
            <w:gridSpan w:val="2"/>
          </w:tcPr>
          <w:p>
            <w:pPr>
              <w:spacing w:after="0"/>
              <w:rPr>
                <w:sz w:val="20"/>
                <w:szCs w:val="20"/>
                <w:color w:val="auto"/>
              </w:rPr>
            </w:pPr>
            <w:r>
              <w:rPr>
                <w:rFonts w:ascii="Arial" w:cs="Arial" w:eastAsia="Arial" w:hAnsi="Arial"/>
                <w:sz w:val="16"/>
                <w:szCs w:val="16"/>
                <w:color w:val="auto"/>
              </w:rPr>
              <w:t>101.CAL**</w:t>
            </w:r>
          </w:p>
        </w:tc>
        <w:tc>
          <w:tcPr>
            <w:tcW w:w="10020" w:type="dxa"/>
            <w:vAlign w:val="bottom"/>
            <w:gridSpan w:val="16"/>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191"/>
        </w:trPr>
        <w:tc>
          <w:tcPr>
            <w:tcW w:w="1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101.DEF**</w:t>
            </w:r>
          </w:p>
        </w:tc>
        <w:tc>
          <w:tcPr>
            <w:tcW w:w="10020" w:type="dxa"/>
            <w:vAlign w:val="bottom"/>
            <w:gridSpan w:val="16"/>
            <w:shd w:val="clear" w:color="auto" w:fill="CCEEFF"/>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191"/>
        </w:trPr>
        <w:tc>
          <w:tcPr>
            <w:tcW w:w="1240" w:type="dxa"/>
            <w:vAlign w:val="bottom"/>
            <w:gridSpan w:val="2"/>
          </w:tcPr>
          <w:p>
            <w:pPr>
              <w:spacing w:after="0"/>
              <w:rPr>
                <w:sz w:val="20"/>
                <w:szCs w:val="20"/>
                <w:color w:val="auto"/>
              </w:rPr>
            </w:pPr>
            <w:r>
              <w:rPr>
                <w:rFonts w:ascii="Arial" w:cs="Arial" w:eastAsia="Arial" w:hAnsi="Arial"/>
                <w:sz w:val="16"/>
                <w:szCs w:val="16"/>
                <w:color w:val="auto"/>
              </w:rPr>
              <w:t>101.LAB**</w:t>
            </w:r>
          </w:p>
        </w:tc>
        <w:tc>
          <w:tcPr>
            <w:tcW w:w="10020" w:type="dxa"/>
            <w:vAlign w:val="bottom"/>
            <w:gridSpan w:val="16"/>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191"/>
        </w:trPr>
        <w:tc>
          <w:tcPr>
            <w:tcW w:w="1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101.PRE**</w:t>
            </w:r>
          </w:p>
        </w:tc>
        <w:tc>
          <w:tcPr>
            <w:tcW w:w="10020" w:type="dxa"/>
            <w:vAlign w:val="bottom"/>
            <w:gridSpan w:val="16"/>
            <w:shd w:val="clear" w:color="auto" w:fill="CCEEFF"/>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04"/>
        </w:trPr>
        <w:tc>
          <w:tcPr>
            <w:tcW w:w="1140" w:type="dxa"/>
            <w:vAlign w:val="bottom"/>
          </w:tcPr>
          <w:p>
            <w:pP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10020" w:type="dxa"/>
            <w:vAlign w:val="bottom"/>
            <w:gridSpan w:val="16"/>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166" w:lineRule="exact"/>
        <w:rPr>
          <w:sz w:val="20"/>
          <w:szCs w:val="20"/>
          <w:color w:val="auto"/>
        </w:rPr>
      </w:pPr>
    </w:p>
    <w:p>
      <w:pPr>
        <w:ind w:left="4" w:right="9760" w:hanging="4"/>
        <w:spacing w:after="0" w:line="274" w:lineRule="auto"/>
        <w:tabs>
          <w:tab w:leader="none" w:pos="458" w:val="left"/>
        </w:tabs>
        <w:numPr>
          <w:ilvl w:val="0"/>
          <w:numId w:val="61"/>
        </w:numPr>
        <w:rPr>
          <w:rFonts w:ascii="Arial" w:cs="Arial" w:eastAsia="Arial" w:hAnsi="Arial"/>
          <w:sz w:val="15"/>
          <w:szCs w:val="15"/>
          <w:color w:val="auto"/>
        </w:rPr>
      </w:pPr>
      <w:r>
        <w:rPr>
          <w:rFonts w:ascii="Arial" w:cs="Arial" w:eastAsia="Arial" w:hAnsi="Arial"/>
          <w:sz w:val="15"/>
          <w:szCs w:val="15"/>
          <w:color w:val="auto"/>
        </w:rPr>
        <w:t>Previously filed. ** Filed herewith.</w:t>
      </w:r>
    </w:p>
    <w:p>
      <w:pPr>
        <w:spacing w:after="0" w:line="1"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4"/>
          <w:szCs w:val="14"/>
          <w:color w:val="auto"/>
        </w:rPr>
        <w:t>Certain schedules, annexes and exhibits have been omitted pursuant to Item 601(b)(2) of Regulation S-K, but will be furnished supplementally to the SEC upon request.</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Amendment No. 1 to the Annual Report on Form 20-F on its behalf.</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PROCAPS GROUP S.A.</w:t>
      </w:r>
    </w:p>
    <w:p>
      <w:pPr>
        <w:spacing w:after="0" w:line="202" w:lineRule="exact"/>
        <w:rPr>
          <w:sz w:val="20"/>
          <w:szCs w:val="20"/>
          <w:color w:val="auto"/>
        </w:rPr>
      </w:pPr>
    </w:p>
    <w:tbl>
      <w:tblPr>
        <w:tblLayout w:type="fixed"/>
        <w:tblInd w:w="676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Ruben Minski</w:t>
            </w:r>
          </w:p>
        </w:tc>
      </w:tr>
      <w:tr>
        <w:trPr>
          <w:trHeight w:val="179"/>
        </w:trPr>
        <w:tc>
          <w:tcPr>
            <w:tcW w:w="56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Ruben Minski</w:t>
            </w: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Dated: May 19, 2022</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60"/>
        <w:spacing w:after="0"/>
        <w:rPr>
          <w:sz w:val="20"/>
          <w:szCs w:val="20"/>
          <w:color w:val="auto"/>
        </w:rPr>
      </w:pPr>
      <w:r>
        <w:rPr>
          <w:rFonts w:ascii="Arial" w:cs="Arial" w:eastAsia="Arial" w:hAnsi="Arial"/>
          <w:sz w:val="16"/>
          <w:szCs w:val="16"/>
          <w:b w:val="1"/>
          <w:bCs w:val="1"/>
          <w:i w:val="1"/>
          <w:iCs w:val="1"/>
          <w:color w:val="auto"/>
        </w:rPr>
        <w:t>Procaps Group S.A. and subsidiaries (The Group)</w:t>
      </w:r>
    </w:p>
    <w:p>
      <w:pPr>
        <w:spacing w:after="0" w:line="20" w:lineRule="exact"/>
        <w:rPr>
          <w:sz w:val="20"/>
          <w:szCs w:val="20"/>
          <w:color w:val="auto"/>
        </w:rPr>
      </w:pPr>
    </w:p>
    <w:p>
      <w:pPr>
        <w:ind w:left="1420"/>
        <w:spacing w:after="0"/>
        <w:rPr>
          <w:sz w:val="20"/>
          <w:szCs w:val="20"/>
          <w:color w:val="auto"/>
        </w:rPr>
      </w:pPr>
      <w:r>
        <w:rPr>
          <w:rFonts w:ascii="Arial" w:cs="Arial" w:eastAsia="Arial" w:hAnsi="Arial"/>
          <w:sz w:val="13"/>
          <w:szCs w:val="13"/>
          <w:b w:val="1"/>
          <w:bCs w:val="1"/>
          <w:i w:val="1"/>
          <w:iCs w:val="1"/>
          <w:color w:val="auto"/>
        </w:rPr>
        <w:t>Consolidated Financial Statements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4"/>
        </w:trPr>
        <w:tc>
          <w:tcPr>
            <w:tcW w:w="8400" w:type="dxa"/>
            <w:vAlign w:val="bottom"/>
            <w:gridSpan w:val="6"/>
          </w:tcPr>
          <w:p>
            <w:pPr>
              <w:spacing w:after="0"/>
              <w:rPr>
                <w:sz w:val="20"/>
                <w:szCs w:val="20"/>
                <w:color w:val="auto"/>
              </w:rPr>
            </w:pPr>
            <w:r>
              <w:rPr>
                <w:rFonts w:ascii="Arial" w:cs="Arial" w:eastAsia="Arial" w:hAnsi="Arial"/>
                <w:sz w:val="16"/>
                <w:szCs w:val="16"/>
                <w:b w:val="1"/>
                <w:bCs w:val="1"/>
                <w:i w:val="1"/>
                <w:iCs w:val="1"/>
                <w:color w:val="auto"/>
              </w:rPr>
              <w:t>Consolidated Financial Statements for the years ended December 31, 2021, 2020 and 2019</w:t>
            </w:r>
          </w:p>
        </w:tc>
        <w:tc>
          <w:tcPr>
            <w:tcW w:w="2860" w:type="dxa"/>
            <w:vAlign w:val="bottom"/>
          </w:tcPr>
          <w:p>
            <w:pPr>
              <w:spacing w:after="0"/>
              <w:rPr>
                <w:sz w:val="17"/>
                <w:szCs w:val="17"/>
                <w:color w:val="auto"/>
              </w:rPr>
            </w:pPr>
          </w:p>
        </w:tc>
      </w:tr>
      <w:tr>
        <w:trPr>
          <w:trHeight w:val="191"/>
        </w:trPr>
        <w:tc>
          <w:tcPr>
            <w:tcW w:w="5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171"/>
        </w:trPr>
        <w:tc>
          <w:tcPr>
            <w:tcW w:w="5100" w:type="dxa"/>
            <w:vAlign w:val="bottom"/>
            <w:tcBorders>
              <w:bottom w:val="single" w:sz="8" w:color="0000EE"/>
            </w:tcBorders>
            <w:shd w:val="clear" w:color="auto" w:fill="CCEEFF"/>
          </w:tcPr>
          <w:p>
            <w:pPr>
              <w:spacing w:after="0" w:line="155" w:lineRule="exact"/>
              <w:rPr>
                <w:rFonts w:ascii="Arial" w:cs="Arial" w:eastAsia="Arial" w:hAnsi="Arial"/>
                <w:sz w:val="16"/>
                <w:szCs w:val="16"/>
                <w:color w:val="0000EE"/>
                <w:w w:val="91"/>
              </w:rPr>
            </w:pPr>
            <w:hyperlink w:anchor="page126">
              <w:r>
                <w:rPr>
                  <w:rFonts w:ascii="Arial" w:cs="Arial" w:eastAsia="Arial" w:hAnsi="Arial"/>
                  <w:sz w:val="16"/>
                  <w:szCs w:val="16"/>
                  <w:color w:val="0000EE"/>
                  <w:w w:val="91"/>
                </w:rPr>
                <w:t>Report of Independent Registered Public Accounting Firm – PCAOB – ID 1183</w:t>
              </w:r>
            </w:hyperlink>
          </w:p>
        </w:tc>
        <w:tc>
          <w:tcPr>
            <w:tcW w:w="3300" w:type="dxa"/>
            <w:vAlign w:val="bottom"/>
            <w:tcBorders>
              <w:bottom w:val="single" w:sz="8" w:color="CCEEFF"/>
            </w:tcBorders>
            <w:gridSpan w:val="5"/>
            <w:shd w:val="clear" w:color="auto" w:fill="CCEEFF"/>
          </w:tcPr>
          <w:p>
            <w:pPr>
              <w:spacing w:after="0"/>
              <w:rPr>
                <w:sz w:val="14"/>
                <w:szCs w:val="14"/>
                <w:color w:val="auto"/>
              </w:rPr>
            </w:pPr>
          </w:p>
        </w:tc>
        <w:tc>
          <w:tcPr>
            <w:tcW w:w="2860" w:type="dxa"/>
            <w:vAlign w:val="bottom"/>
            <w:tcBorders>
              <w:bottom w:val="single" w:sz="8" w:color="CCEEFF"/>
            </w:tcBorders>
            <w:shd w:val="clear" w:color="auto" w:fill="CCEEFF"/>
          </w:tcPr>
          <w:p>
            <w:pPr>
              <w:ind w:left="2180"/>
              <w:spacing w:after="0" w:line="155" w:lineRule="exact"/>
              <w:rPr>
                <w:sz w:val="20"/>
                <w:szCs w:val="20"/>
                <w:color w:val="auto"/>
              </w:rPr>
            </w:pPr>
            <w:r>
              <w:rPr>
                <w:rFonts w:ascii="Arial" w:cs="Arial" w:eastAsia="Arial" w:hAnsi="Arial"/>
                <w:sz w:val="16"/>
                <w:szCs w:val="16"/>
                <w:color w:val="auto"/>
              </w:rPr>
              <w:t>F-3</w:t>
            </w:r>
          </w:p>
        </w:tc>
      </w:tr>
      <w:tr>
        <w:trPr>
          <w:trHeight w:val="163"/>
        </w:trPr>
        <w:tc>
          <w:tcPr>
            <w:tcW w:w="8400" w:type="dxa"/>
            <w:vAlign w:val="bottom"/>
            <w:tcBorders>
              <w:bottom w:val="single" w:sz="8" w:color="0000EE"/>
            </w:tcBorders>
            <w:gridSpan w:val="6"/>
          </w:tcPr>
          <w:p>
            <w:pPr>
              <w:spacing w:after="0" w:line="155" w:lineRule="exact"/>
              <w:rPr>
                <w:rFonts w:ascii="Arial" w:cs="Arial" w:eastAsia="Arial" w:hAnsi="Arial"/>
                <w:sz w:val="16"/>
                <w:szCs w:val="16"/>
                <w:color w:val="0000EE"/>
                <w:w w:val="89"/>
              </w:rPr>
            </w:pPr>
            <w:hyperlink w:anchor="page127">
              <w:r>
                <w:rPr>
                  <w:rFonts w:ascii="Arial" w:cs="Arial" w:eastAsia="Arial" w:hAnsi="Arial"/>
                  <w:sz w:val="16"/>
                  <w:szCs w:val="16"/>
                  <w:color w:val="0000EE"/>
                  <w:w w:val="89"/>
                </w:rPr>
                <w:t>Consolidated Statement of Profit or Loss and Other Comprehensive Income for the years ended December 31, 2021, 2020 and 2019</w:t>
              </w:r>
            </w:hyperlink>
          </w:p>
        </w:tc>
        <w:tc>
          <w:tcPr>
            <w:tcW w:w="2860" w:type="dxa"/>
            <w:vAlign w:val="bottom"/>
          </w:tcPr>
          <w:p>
            <w:pPr>
              <w:ind w:left="2180"/>
              <w:spacing w:after="0" w:line="155" w:lineRule="exact"/>
              <w:rPr>
                <w:sz w:val="20"/>
                <w:szCs w:val="20"/>
                <w:color w:val="auto"/>
              </w:rPr>
            </w:pPr>
            <w:r>
              <w:rPr>
                <w:rFonts w:ascii="Arial" w:cs="Arial" w:eastAsia="Arial" w:hAnsi="Arial"/>
                <w:sz w:val="16"/>
                <w:szCs w:val="16"/>
                <w:color w:val="auto"/>
              </w:rPr>
              <w:t>F-4</w:t>
            </w:r>
          </w:p>
        </w:tc>
      </w:tr>
      <w:tr>
        <w:trPr>
          <w:trHeight w:val="179"/>
        </w:trPr>
        <w:tc>
          <w:tcPr>
            <w:tcW w:w="6820" w:type="dxa"/>
            <w:vAlign w:val="bottom"/>
            <w:tcBorders>
              <w:bottom w:val="single" w:sz="8" w:color="0000EE"/>
            </w:tcBorders>
            <w:gridSpan w:val="5"/>
            <w:shd w:val="clear" w:color="auto" w:fill="CCEEFF"/>
          </w:tcPr>
          <w:p>
            <w:pPr>
              <w:spacing w:after="0" w:line="163" w:lineRule="exact"/>
              <w:rPr>
                <w:rFonts w:ascii="Arial" w:cs="Arial" w:eastAsia="Arial" w:hAnsi="Arial"/>
                <w:sz w:val="16"/>
                <w:szCs w:val="16"/>
                <w:color w:val="0000EE"/>
                <w:w w:val="89"/>
              </w:rPr>
            </w:pPr>
            <w:hyperlink w:anchor="page129">
              <w:r>
                <w:rPr>
                  <w:rFonts w:ascii="Arial" w:cs="Arial" w:eastAsia="Arial" w:hAnsi="Arial"/>
                  <w:sz w:val="16"/>
                  <w:szCs w:val="16"/>
                  <w:color w:val="0000EE"/>
                  <w:w w:val="89"/>
                </w:rPr>
                <w:t>Consolidated Statement of Financial Position as of December 31, 2021 and 2020 and as of January 1, 2020</w:t>
              </w:r>
            </w:hyperlink>
          </w:p>
        </w:tc>
        <w:tc>
          <w:tcPr>
            <w:tcW w:w="1580" w:type="dxa"/>
            <w:vAlign w:val="bottom"/>
            <w:tcBorders>
              <w:bottom w:val="single" w:sz="8" w:color="CCEEFF"/>
            </w:tcBorders>
            <w:shd w:val="clear" w:color="auto" w:fill="CCEEFF"/>
          </w:tcPr>
          <w:p>
            <w:pPr>
              <w:spacing w:after="0"/>
              <w:rPr>
                <w:sz w:val="15"/>
                <w:szCs w:val="15"/>
                <w:color w:val="auto"/>
              </w:rPr>
            </w:pPr>
          </w:p>
        </w:tc>
        <w:tc>
          <w:tcPr>
            <w:tcW w:w="2860" w:type="dxa"/>
            <w:vAlign w:val="bottom"/>
            <w:tcBorders>
              <w:bottom w:val="single" w:sz="8" w:color="CCEEFF"/>
            </w:tcBorders>
            <w:shd w:val="clear" w:color="auto" w:fill="CCEEFF"/>
          </w:tcPr>
          <w:p>
            <w:pPr>
              <w:ind w:left="2180"/>
              <w:spacing w:after="0" w:line="163" w:lineRule="exact"/>
              <w:rPr>
                <w:sz w:val="20"/>
                <w:szCs w:val="20"/>
                <w:color w:val="auto"/>
              </w:rPr>
            </w:pPr>
            <w:r>
              <w:rPr>
                <w:rFonts w:ascii="Arial" w:cs="Arial" w:eastAsia="Arial" w:hAnsi="Arial"/>
                <w:sz w:val="16"/>
                <w:szCs w:val="16"/>
                <w:color w:val="auto"/>
              </w:rPr>
              <w:t>F-6</w:t>
            </w:r>
          </w:p>
        </w:tc>
      </w:tr>
      <w:tr>
        <w:trPr>
          <w:trHeight w:val="155"/>
        </w:trPr>
        <w:tc>
          <w:tcPr>
            <w:tcW w:w="8400" w:type="dxa"/>
            <w:vAlign w:val="bottom"/>
            <w:gridSpan w:val="6"/>
          </w:tcPr>
          <w:p>
            <w:pPr>
              <w:spacing w:after="0" w:line="155" w:lineRule="exact"/>
              <w:rPr>
                <w:rFonts w:ascii="Arial" w:cs="Arial" w:eastAsia="Arial" w:hAnsi="Arial"/>
                <w:sz w:val="16"/>
                <w:szCs w:val="16"/>
                <w:color w:val="0000EE"/>
              </w:rPr>
            </w:pPr>
            <w:hyperlink w:anchor="page130">
              <w:r>
                <w:rPr>
                  <w:rFonts w:ascii="Arial" w:cs="Arial" w:eastAsia="Arial" w:hAnsi="Arial"/>
                  <w:sz w:val="16"/>
                  <w:szCs w:val="16"/>
                  <w:color w:val="0000EE"/>
                </w:rPr>
                <w:t>Consolidated Statement of Changes in Equity as of December 31, 2021, 2020 and 2019</w:t>
              </w:r>
            </w:hyperlink>
          </w:p>
        </w:tc>
        <w:tc>
          <w:tcPr>
            <w:tcW w:w="2860" w:type="dxa"/>
            <w:vAlign w:val="bottom"/>
          </w:tcPr>
          <w:p>
            <w:pPr>
              <w:ind w:left="2180"/>
              <w:spacing w:after="0" w:line="155" w:lineRule="exact"/>
              <w:rPr>
                <w:sz w:val="20"/>
                <w:szCs w:val="20"/>
                <w:color w:val="auto"/>
              </w:rPr>
            </w:pPr>
            <w:r>
              <w:rPr>
                <w:rFonts w:ascii="Arial" w:cs="Arial" w:eastAsia="Arial" w:hAnsi="Arial"/>
                <w:sz w:val="16"/>
                <w:szCs w:val="16"/>
                <w:color w:val="auto"/>
              </w:rPr>
              <w:t>F-7</w:t>
            </w:r>
          </w:p>
        </w:tc>
      </w:tr>
      <w:tr>
        <w:trPr>
          <w:trHeight w:val="28"/>
        </w:trPr>
        <w:tc>
          <w:tcPr>
            <w:tcW w:w="5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163"/>
        </w:trPr>
        <w:tc>
          <w:tcPr>
            <w:tcW w:w="8400" w:type="dxa"/>
            <w:vAlign w:val="bottom"/>
            <w:gridSpan w:val="6"/>
            <w:shd w:val="clear" w:color="auto" w:fill="CCEEFF"/>
          </w:tcPr>
          <w:p>
            <w:pPr>
              <w:spacing w:after="0" w:line="163" w:lineRule="exact"/>
              <w:rPr>
                <w:rFonts w:ascii="Arial" w:cs="Arial" w:eastAsia="Arial" w:hAnsi="Arial"/>
                <w:sz w:val="16"/>
                <w:szCs w:val="16"/>
                <w:color w:val="0000EE"/>
              </w:rPr>
            </w:pPr>
            <w:hyperlink w:anchor="page131">
              <w:r>
                <w:rPr>
                  <w:rFonts w:ascii="Arial" w:cs="Arial" w:eastAsia="Arial" w:hAnsi="Arial"/>
                  <w:sz w:val="16"/>
                  <w:szCs w:val="16"/>
                  <w:color w:val="0000EE"/>
                </w:rPr>
                <w:t>Consolidated Statement of Cash Flows for the years ended December 31, 2021, 2020 and 2019</w:t>
              </w:r>
            </w:hyperlink>
          </w:p>
        </w:tc>
        <w:tc>
          <w:tcPr>
            <w:tcW w:w="2860" w:type="dxa"/>
            <w:vAlign w:val="bottom"/>
            <w:shd w:val="clear" w:color="auto" w:fill="CCEEFF"/>
          </w:tcPr>
          <w:p>
            <w:pPr>
              <w:ind w:left="2180"/>
              <w:spacing w:after="0" w:line="163" w:lineRule="exact"/>
              <w:rPr>
                <w:sz w:val="20"/>
                <w:szCs w:val="20"/>
                <w:color w:val="auto"/>
              </w:rPr>
            </w:pPr>
            <w:r>
              <w:rPr>
                <w:rFonts w:ascii="Arial" w:cs="Arial" w:eastAsia="Arial" w:hAnsi="Arial"/>
                <w:sz w:val="16"/>
                <w:szCs w:val="16"/>
                <w:color w:val="auto"/>
              </w:rPr>
              <w:t>F-8</w:t>
            </w:r>
          </w:p>
        </w:tc>
      </w:tr>
      <w:tr>
        <w:trPr>
          <w:trHeight w:val="36"/>
        </w:trPr>
        <w:tc>
          <w:tcPr>
            <w:tcW w:w="51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2860" w:type="dxa"/>
            <w:vAlign w:val="bottom"/>
            <w:shd w:val="clear" w:color="auto" w:fill="CCEEFF"/>
          </w:tcPr>
          <w:p>
            <w:pPr>
              <w:spacing w:after="0"/>
              <w:rPr>
                <w:sz w:val="3"/>
                <w:szCs w:val="3"/>
                <w:color w:val="auto"/>
              </w:rPr>
            </w:pPr>
          </w:p>
        </w:tc>
      </w:tr>
      <w:tr>
        <w:trPr>
          <w:trHeight w:val="155"/>
        </w:trPr>
        <w:tc>
          <w:tcPr>
            <w:tcW w:w="6360" w:type="dxa"/>
            <w:vAlign w:val="bottom"/>
            <w:tcBorders>
              <w:bottom w:val="single" w:sz="8" w:color="0000EE"/>
            </w:tcBorders>
            <w:gridSpan w:val="4"/>
          </w:tcPr>
          <w:p>
            <w:pPr>
              <w:spacing w:after="0" w:line="155" w:lineRule="exact"/>
              <w:rPr>
                <w:rFonts w:ascii="Arial" w:cs="Arial" w:eastAsia="Arial" w:hAnsi="Arial"/>
                <w:sz w:val="16"/>
                <w:szCs w:val="16"/>
                <w:color w:val="0000EE"/>
                <w:w w:val="88"/>
              </w:rPr>
            </w:pPr>
            <w:hyperlink w:anchor="page133">
              <w:r>
                <w:rPr>
                  <w:rFonts w:ascii="Arial" w:cs="Arial" w:eastAsia="Arial" w:hAnsi="Arial"/>
                  <w:sz w:val="16"/>
                  <w:szCs w:val="16"/>
                  <w:color w:val="0000EE"/>
                  <w:w w:val="88"/>
                </w:rPr>
                <w:t>Notes to Consolidated Financial Statements for the years ended December 31, 2021, 2020 and 2019</w:t>
              </w:r>
            </w:hyperlink>
          </w:p>
        </w:tc>
        <w:tc>
          <w:tcPr>
            <w:tcW w:w="2040" w:type="dxa"/>
            <w:vAlign w:val="bottom"/>
            <w:gridSpan w:val="2"/>
          </w:tcPr>
          <w:p>
            <w:pPr>
              <w:spacing w:after="0"/>
              <w:rPr>
                <w:sz w:val="13"/>
                <w:szCs w:val="13"/>
                <w:color w:val="auto"/>
              </w:rPr>
            </w:pPr>
          </w:p>
        </w:tc>
        <w:tc>
          <w:tcPr>
            <w:tcW w:w="2860" w:type="dxa"/>
            <w:vAlign w:val="bottom"/>
          </w:tcPr>
          <w:p>
            <w:pPr>
              <w:ind w:left="2180"/>
              <w:spacing w:after="0" w:line="155" w:lineRule="exact"/>
              <w:rPr>
                <w:sz w:val="20"/>
                <w:szCs w:val="20"/>
                <w:color w:val="auto"/>
              </w:rPr>
            </w:pPr>
            <w:r>
              <w:rPr>
                <w:rFonts w:ascii="Arial" w:cs="Arial" w:eastAsia="Arial" w:hAnsi="Arial"/>
                <w:sz w:val="16"/>
                <w:szCs w:val="16"/>
                <w:color w:val="auto"/>
              </w:rPr>
              <w:t>F-9</w:t>
            </w:r>
          </w:p>
        </w:tc>
      </w:tr>
      <w:tr>
        <w:trPr>
          <w:trHeight w:val="593"/>
        </w:trPr>
        <w:tc>
          <w:tcPr>
            <w:tcW w:w="51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ind w:left="420"/>
              <w:spacing w:after="0"/>
              <w:rPr>
                <w:sz w:val="20"/>
                <w:szCs w:val="20"/>
                <w:color w:val="auto"/>
              </w:rPr>
            </w:pPr>
            <w:r>
              <w:rPr>
                <w:rFonts w:ascii="Arial" w:cs="Arial" w:eastAsia="Arial" w:hAnsi="Arial"/>
                <w:sz w:val="16"/>
                <w:szCs w:val="16"/>
                <w:color w:val="auto"/>
              </w:rPr>
              <w:t>F-2</w:t>
            </w: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6" w:right="31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color w:val="auto"/>
        </w:rPr>
        <w:t>REPORT OF INDEPENDENT REGISTERED PUBLIC ACCOUNTING FIRM</w:t>
      </w:r>
    </w:p>
    <w:p>
      <w:pPr>
        <w:spacing w:after="0" w:line="198"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Deloitte &amp; Touche Ltda.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1494790" cy="2806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1494790" cy="280670"/>
                    </a:xfrm>
                    <a:prstGeom prst="rect">
                      <a:avLst/>
                    </a:prstGeom>
                    <a:noFill/>
                  </pic:spPr>
                </pic:pic>
              </a:graphicData>
            </a:graphic>
          </wp:anchor>
        </w:drawing>
      </w:r>
    </w:p>
    <w:p>
      <w:pPr>
        <w:ind w:left="9000"/>
        <w:spacing w:after="0"/>
        <w:rPr>
          <w:sz w:val="20"/>
          <w:szCs w:val="20"/>
          <w:color w:val="auto"/>
        </w:rPr>
      </w:pPr>
      <w:r>
        <w:rPr>
          <w:rFonts w:ascii="Arial" w:cs="Arial" w:eastAsia="Arial" w:hAnsi="Arial"/>
          <w:sz w:val="16"/>
          <w:szCs w:val="16"/>
          <w:color w:val="auto"/>
        </w:rPr>
        <w:t>Nit. 860.005.813-4</w:t>
      </w:r>
    </w:p>
    <w:p>
      <w:pPr>
        <w:spacing w:after="0" w:line="7"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Carrera 7 No. 74-09</w:t>
      </w:r>
    </w:p>
    <w:p>
      <w:pPr>
        <w:spacing w:after="0" w:line="7"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Ed. Deloitte</w:t>
      </w:r>
    </w:p>
    <w:p>
      <w:pPr>
        <w:spacing w:after="0" w:line="7"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Bogotá</w:t>
      </w:r>
    </w:p>
    <w:p>
      <w:pPr>
        <w:spacing w:after="0" w:line="7"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Colombia</w:t>
      </w:r>
    </w:p>
    <w:p>
      <w:pPr>
        <w:spacing w:after="0" w:line="186"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Tel: +57 (601) 426 2000</w:t>
      </w:r>
    </w:p>
    <w:p>
      <w:pPr>
        <w:spacing w:after="0" w:line="20"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www.deloitte.com/co</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Procaps Group S.A.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have audited the accompanying consolidated statements of financial position of Procaps Group S.A. and subsidiaries (the “Company”) as of December 31, 2021 and 2020 and as of January 1, 2020, the related consolidated statements of profit or loss and other comprehensive income, changes in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as of January 1, 2020, and the results of its operations and its cash flows for each of the three years in the period ended December 31, 2021, in conformity with International Financial Reporting Standards as issued by the International Accounting Standards Board.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Restatement of the 2020 and 2019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2.4 to the financial statements, the accompanying 2020 and 2019 financial statements have been restated to correct misstatements.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Ltda.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Bogota, Colombia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April 29, 2022</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6879590</wp:posOffset>
            </wp:positionH>
            <wp:positionV relativeFrom="paragraph">
              <wp:posOffset>-107950</wp:posOffset>
            </wp:positionV>
            <wp:extent cx="242570" cy="2203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242570" cy="220345"/>
                    </a:xfrm>
                    <a:prstGeom prst="rect">
                      <a:avLst/>
                    </a:prstGeom>
                    <a:noFill/>
                  </pic:spPr>
                </pic:pic>
              </a:graphicData>
            </a:graphic>
          </wp:anchor>
        </w:drawing>
      </w:r>
    </w:p>
    <w:p>
      <w:pPr>
        <w:spacing w:after="0" w:line="382" w:lineRule="exact"/>
        <w:rPr>
          <w:sz w:val="20"/>
          <w:szCs w:val="20"/>
          <w:color w:val="auto"/>
        </w:rPr>
      </w:pPr>
    </w:p>
    <w:p>
      <w:pPr>
        <w:ind w:right="360"/>
        <w:spacing w:after="0" w:line="262" w:lineRule="auto"/>
        <w:rPr>
          <w:sz w:val="20"/>
          <w:szCs w:val="20"/>
          <w:color w:val="auto"/>
        </w:rPr>
      </w:pPr>
      <w:r>
        <w:rPr>
          <w:rFonts w:ascii="Arial" w:cs="Arial" w:eastAsia="Arial" w:hAnsi="Arial"/>
          <w:sz w:val="16"/>
          <w:szCs w:val="16"/>
          <w:color w:val="auto"/>
        </w:rPr>
        <w:t>Deloitte se refiere a Deloitte Touche Tohmatsu Limited, sociedad privada de responsabilidad limitada en el Reino Unido, a su red de firmas miembro y sus entidades relacionadas, cada una de ellas como una entidad legal única e independiente. Consulte www.deloitte.com para obtener más información sobre nuestra red global de firmas miembro.</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 of Profit or Loss and Other Comprehensive Income</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59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Notes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Borders>
              <w:bottom w:val="single" w:sz="8" w:color="CCEEFF"/>
            </w:tcBorders>
          </w:tcPr>
          <w:p>
            <w:pPr>
              <w:spacing w:after="0"/>
              <w:rPr>
                <w:sz w:val="18"/>
                <w:szCs w:val="18"/>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409,742</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331,467</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324,792</w:t>
            </w:r>
          </w:p>
        </w:tc>
        <w:tc>
          <w:tcPr>
            <w:tcW w:w="120" w:type="dxa"/>
            <w:vAlign w:val="bottom"/>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Cost of sales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(174,029)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(140,153)</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(142,294)</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235,713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191,314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182,498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 expenses</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(83,057)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(69,629)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(84,810)</w:t>
            </w: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Administrative expenses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(82,187)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(58,631)</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(60,257)</w:t>
            </w: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Finance expenses, net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(78,636)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(54,489)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(42,983)</w:t>
            </w: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Other expenses, net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(78,991)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(7,716)</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(4,426)</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(Loss)/Income before tax</w:t>
            </w: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(87,158</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(9,978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1"/>
        </w:trPr>
        <w:tc>
          <w:tcPr>
            <w:tcW w:w="5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8"/>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(13,705)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(11,296)</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(7,035)</w:t>
            </w:r>
          </w:p>
        </w:tc>
      </w:tr>
      <w:tr>
        <w:trPr>
          <w:trHeight w:val="179"/>
        </w:trPr>
        <w:tc>
          <w:tcPr>
            <w:tcW w:w="598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Loss for the year</w:t>
            </w:r>
          </w:p>
        </w:tc>
        <w:tc>
          <w:tcPr>
            <w:tcW w:w="124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(100,863</w:t>
            </w:r>
          </w:p>
        </w:tc>
        <w:tc>
          <w:tcPr>
            <w:tcW w:w="160" w:type="dxa"/>
            <w:vAlign w:val="bottom"/>
            <w:tcBorders>
              <w:top w:val="single" w:sz="8" w:color="CCEEFF"/>
              <w:bottom w:val="single" w:sz="8" w:color="CCEEFF"/>
            </w:tcBorders>
          </w:tcPr>
          <w:p>
            <w:pPr>
              <w:jc w:val="right"/>
              <w:ind w:right="20"/>
              <w:spacing w:after="0" w:line="175" w:lineRule="exact"/>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(10,447</w:t>
            </w:r>
          </w:p>
        </w:tc>
        <w:tc>
          <w:tcPr>
            <w:tcW w:w="220" w:type="dxa"/>
            <w:vAlign w:val="bottom"/>
            <w:tcBorders>
              <w:top w:val="single" w:sz="8" w:color="CCEEFF"/>
              <w:bottom w:val="single" w:sz="8" w:color="CCEEFF"/>
            </w:tcBorders>
          </w:tcPr>
          <w:p>
            <w:pPr>
              <w:jc w:val="right"/>
              <w:ind w:right="80"/>
              <w:spacing w:after="0" w:line="175" w:lineRule="exact"/>
              <w:rPr>
                <w:sz w:val="20"/>
                <w:szCs w:val="20"/>
                <w:color w:val="auto"/>
              </w:rPr>
            </w:pPr>
            <w:r>
              <w:rPr>
                <w:rFonts w:ascii="Arial" w:cs="Arial" w:eastAsia="Arial" w:hAnsi="Arial"/>
                <w:sz w:val="16"/>
                <w:szCs w:val="16"/>
                <w:b w:val="1"/>
                <w:bCs w:val="1"/>
                <w:color w:val="auto"/>
                <w:w w:val="74"/>
              </w:rPr>
              <w:t>)</w:t>
            </w: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(17,013</w:t>
            </w:r>
          </w:p>
        </w:tc>
        <w:tc>
          <w:tcPr>
            <w:tcW w:w="120" w:type="dxa"/>
            <w:vAlign w:val="bottom"/>
            <w:tcBorders>
              <w:top w:val="single" w:sz="8" w:color="CCEEFF"/>
              <w:bottom w:val="single" w:sz="8" w:color="CCEEFF"/>
            </w:tcBorders>
          </w:tcPr>
          <w:p>
            <w:pPr>
              <w:jc w:val="right"/>
              <w:spacing w:after="0" w:line="175" w:lineRule="exact"/>
              <w:rPr>
                <w:sz w:val="20"/>
                <w:szCs w:val="20"/>
                <w:color w:val="auto"/>
              </w:rPr>
            </w:pPr>
            <w:r>
              <w:rPr>
                <w:rFonts w:ascii="Arial" w:cs="Arial" w:eastAsia="Arial" w:hAnsi="Arial"/>
                <w:sz w:val="16"/>
                <w:szCs w:val="16"/>
                <w:b w:val="1"/>
                <w:bCs w:val="1"/>
                <w:color w:val="auto"/>
                <w:w w:val="74"/>
              </w:rPr>
              <w:t>)</w:t>
            </w:r>
          </w:p>
        </w:tc>
      </w:tr>
      <w:tr>
        <w:trPr>
          <w:trHeight w:val="191"/>
        </w:trPr>
        <w:tc>
          <w:tcPr>
            <w:tcW w:w="59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b w:val="1"/>
                <w:bCs w:val="1"/>
                <w:color w:val="auto"/>
              </w:rPr>
              <w:t>Loss for the year attributable to:</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Owners of the Company</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(100,863)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(10,447)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(17,008)</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Non-controlling interests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191"/>
        </w:trPr>
        <w:tc>
          <w:tcPr>
            <w:tcW w:w="59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7"/>
        </w:trPr>
        <w:tc>
          <w:tcPr>
            <w:tcW w:w="59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Earnings per share:</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Basic, loss for the period attributable to ordinary equity holders of the Company</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(1.03</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i w:val="1"/>
                <w:iCs w:val="1"/>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(0.11</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i w:val="1"/>
                <w:iCs w:val="1"/>
                <w:color w:val="auto"/>
                <w:w w:val="74"/>
              </w:rPr>
              <w:t>)</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w w:val="74"/>
              </w:rPr>
              <w:t>)</w:t>
            </w:r>
          </w:p>
        </w:tc>
      </w:tr>
      <w:tr>
        <w:trPr>
          <w:trHeight w:val="20"/>
        </w:trPr>
        <w:tc>
          <w:tcPr>
            <w:tcW w:w="5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27" w:name="page128"/>
    <w:bookmarkEnd w:id="127"/>
    <w:p>
      <w:pPr>
        <w:jc w:val="center"/>
        <w:ind w:right="20"/>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 of Profit or Loss and Other Comprehensive Income</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610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6"/>
                <w:szCs w:val="16"/>
                <w:b w:val="1"/>
                <w:bCs w:val="1"/>
                <w:color w:val="auto"/>
              </w:rPr>
              <w:t>Notes</w:t>
            </w:r>
          </w:p>
        </w:tc>
        <w:tc>
          <w:tcPr>
            <w:tcW w:w="24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320"/>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r>
      <w:tr>
        <w:trPr>
          <w:trHeight w:val="191"/>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Loss for the year</w:t>
            </w: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(100,863)</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(10,447)</w:t>
            </w: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(17,013)</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6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3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Other comprehensive income/(loss)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7340" w:type="dxa"/>
            <w:vAlign w:val="bottom"/>
            <w:gridSpan w:val="3"/>
          </w:tcPr>
          <w:p>
            <w:pPr>
              <w:ind w:left="140"/>
              <w:spacing w:after="0"/>
              <w:rPr>
                <w:sz w:val="20"/>
                <w:szCs w:val="20"/>
                <w:color w:val="auto"/>
              </w:rPr>
            </w:pPr>
            <w:r>
              <w:rPr>
                <w:rFonts w:ascii="Arial" w:cs="Arial" w:eastAsia="Arial" w:hAnsi="Arial"/>
                <w:sz w:val="16"/>
                <w:szCs w:val="16"/>
                <w:i w:val="1"/>
                <w:iCs w:val="1"/>
                <w:color w:val="auto"/>
              </w:rPr>
              <w:t>Items that will not be reclassified to profit or loss: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3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Remeasurement of net defined benefit liability</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w:t>
            </w:r>
          </w:p>
        </w:tc>
      </w:tr>
      <w:tr>
        <w:trPr>
          <w:trHeight w:val="191"/>
        </w:trPr>
        <w:tc>
          <w:tcPr>
            <w:tcW w:w="7340" w:type="dxa"/>
            <w:vAlign w:val="bottom"/>
            <w:gridSpan w:val="3"/>
          </w:tcPr>
          <w:p>
            <w:pPr>
              <w:ind w:left="280"/>
              <w:spacing w:after="0"/>
              <w:rPr>
                <w:sz w:val="20"/>
                <w:szCs w:val="20"/>
                <w:color w:val="auto"/>
              </w:rPr>
            </w:pPr>
            <w:r>
              <w:rPr>
                <w:rFonts w:ascii="Arial" w:cs="Arial" w:eastAsia="Arial" w:hAnsi="Arial"/>
                <w:sz w:val="16"/>
                <w:szCs w:val="16"/>
                <w:color w:val="auto"/>
              </w:rPr>
              <w:t>Income tax relating to items that will not be reclassified subsequently to profit or loss</w:t>
            </w:r>
          </w:p>
        </w:tc>
        <w:tc>
          <w:tcPr>
            <w:tcW w:w="2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p>
        </w:tc>
      </w:tr>
      <w:tr>
        <w:trPr>
          <w:trHeight w:val="191"/>
        </w:trPr>
        <w:tc>
          <w:tcPr>
            <w:tcW w:w="734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Net of Tax</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w:t>
            </w: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6"/>
                <w:szCs w:val="16"/>
                <w:color w:val="auto"/>
              </w:rPr>
            </w:pPr>
          </w:p>
        </w:tc>
      </w:tr>
      <w:tr>
        <w:trPr>
          <w:trHeight w:val="191"/>
        </w:trPr>
        <w:tc>
          <w:tcPr>
            <w:tcW w:w="7340" w:type="dxa"/>
            <w:vAlign w:val="bottom"/>
            <w:gridSpan w:val="3"/>
          </w:tcPr>
          <w:p>
            <w:pPr>
              <w:ind w:left="140"/>
              <w:spacing w:after="0"/>
              <w:rPr>
                <w:sz w:val="20"/>
                <w:szCs w:val="20"/>
                <w:color w:val="auto"/>
              </w:rPr>
            </w:pPr>
            <w:r>
              <w:rPr>
                <w:rFonts w:ascii="Arial" w:cs="Arial" w:eastAsia="Arial" w:hAnsi="Arial"/>
                <w:sz w:val="16"/>
                <w:szCs w:val="16"/>
                <w:i w:val="1"/>
                <w:iCs w:val="1"/>
                <w:color w:val="auto"/>
              </w:rPr>
              <w:t>Items that will be reclassified subsequently to profit or loss: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3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Exchange differences on translation of foreign operations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(637)</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584</w:t>
            </w:r>
          </w:p>
        </w:tc>
      </w:tr>
      <w:tr>
        <w:trPr>
          <w:trHeight w:val="207"/>
        </w:trPr>
        <w:tc>
          <w:tcPr>
            <w:tcW w:w="7340" w:type="dxa"/>
            <w:vAlign w:val="bottom"/>
            <w:gridSpan w:val="3"/>
          </w:tcPr>
          <w:p>
            <w:pPr>
              <w:ind w:left="280"/>
              <w:spacing w:after="0"/>
              <w:rPr>
                <w:sz w:val="20"/>
                <w:szCs w:val="20"/>
                <w:color w:val="auto"/>
              </w:rPr>
            </w:pPr>
            <w:r>
              <w:rPr>
                <w:rFonts w:ascii="Arial" w:cs="Arial" w:eastAsia="Arial" w:hAnsi="Arial"/>
                <w:sz w:val="16"/>
                <w:szCs w:val="16"/>
                <w:color w:val="auto"/>
              </w:rPr>
              <w:t>Exchange difference from liquidated foreign transactions reclassified to profit or loss</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1"/>
        </w:trPr>
        <w:tc>
          <w:tcPr>
            <w:tcW w:w="73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Other comprehensive income/(loss) for the year, net of tax</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73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Total comprehensive loss for the year</w:t>
            </w: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(104,220)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(11,115)</w:t>
            </w:r>
          </w:p>
        </w:tc>
        <w:tc>
          <w:tcPr>
            <w:tcW w:w="220" w:type="dxa"/>
            <w:vAlign w:val="bottom"/>
          </w:tcPr>
          <w:p>
            <w:pPr>
              <w:spacing w:after="0"/>
              <w:rPr>
                <w:sz w:val="15"/>
                <w:szCs w:val="15"/>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(16,350)</w:t>
            </w:r>
          </w:p>
        </w:tc>
        <w:tc>
          <w:tcPr>
            <w:tcW w:w="120" w:type="dxa"/>
            <w:vAlign w:val="bottom"/>
          </w:tcPr>
          <w:p>
            <w:pPr>
              <w:spacing w:after="0"/>
              <w:rPr>
                <w:sz w:val="15"/>
                <w:szCs w:val="15"/>
                <w:color w:val="auto"/>
              </w:rPr>
            </w:pPr>
          </w:p>
        </w:tc>
      </w:tr>
      <w:tr>
        <w:trPr>
          <w:trHeight w:val="191"/>
        </w:trPr>
        <w:tc>
          <w:tcPr>
            <w:tcW w:w="6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7340" w:type="dxa"/>
            <w:vAlign w:val="bottom"/>
            <w:gridSpan w:val="3"/>
          </w:tcPr>
          <w:p>
            <w:pPr>
              <w:spacing w:after="0"/>
              <w:rPr>
                <w:sz w:val="20"/>
                <w:szCs w:val="20"/>
                <w:color w:val="auto"/>
              </w:rPr>
            </w:pPr>
            <w:r>
              <w:rPr>
                <w:rFonts w:ascii="Arial" w:cs="Arial" w:eastAsia="Arial" w:hAnsi="Arial"/>
                <w:sz w:val="16"/>
                <w:szCs w:val="16"/>
                <w:b w:val="1"/>
                <w:bCs w:val="1"/>
                <w:color w:val="auto"/>
              </w:rPr>
              <w:t>Total comprehensive income/(loss) for the year attributable to:</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3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Owners of the Company</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(102,503)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(11,546)</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(16,299)</w:t>
            </w:r>
          </w:p>
        </w:tc>
      </w:tr>
      <w:tr>
        <w:trPr>
          <w:trHeight w:val="204"/>
        </w:trPr>
        <w:tc>
          <w:tcPr>
            <w:tcW w:w="7340" w:type="dxa"/>
            <w:vAlign w:val="bottom"/>
            <w:gridSpan w:val="3"/>
          </w:tcPr>
          <w:p>
            <w:pPr>
              <w:spacing w:after="0"/>
              <w:rPr>
                <w:sz w:val="20"/>
                <w:szCs w:val="20"/>
                <w:color w:val="auto"/>
              </w:rPr>
            </w:pPr>
            <w:r>
              <w:rPr>
                <w:rFonts w:ascii="Arial" w:cs="Arial" w:eastAsia="Arial" w:hAnsi="Arial"/>
                <w:sz w:val="16"/>
                <w:szCs w:val="16"/>
                <w:color w:val="auto"/>
              </w:rPr>
              <w:t>Non-controlling interests</w:t>
            </w: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(1,717)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431</w:t>
            </w:r>
          </w:p>
        </w:tc>
        <w:tc>
          <w:tcPr>
            <w:tcW w:w="36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(51)</w:t>
            </w:r>
          </w:p>
        </w:tc>
      </w:tr>
    </w:tbl>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 and 2020 and as of January 1, 2020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4"/>
              </w:rPr>
              <w:t>As of</w:t>
            </w:r>
          </w:p>
        </w:tc>
      </w:tr>
      <w:tr>
        <w:trPr>
          <w:trHeight w:val="212"/>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right"/>
              <w:ind w:right="740"/>
              <w:spacing w:after="0"/>
              <w:rPr>
                <w:sz w:val="20"/>
                <w:szCs w:val="20"/>
                <w:color w:val="auto"/>
              </w:rPr>
            </w:pPr>
            <w:r>
              <w:rPr>
                <w:rFonts w:ascii="Arial" w:cs="Arial" w:eastAsia="Arial" w:hAnsi="Arial"/>
                <w:sz w:val="16"/>
                <w:szCs w:val="16"/>
                <w:b w:val="1"/>
                <w:bCs w:val="1"/>
                <w:color w:val="auto"/>
              </w:rPr>
              <w:t>As of December 31</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January 1</w:t>
            </w:r>
          </w:p>
        </w:tc>
      </w:tr>
      <w:tr>
        <w:trPr>
          <w:trHeight w:val="175"/>
        </w:trPr>
        <w:tc>
          <w:tcPr>
            <w:tcW w:w="5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80"/>
              <w:spacing w:after="0" w:line="175" w:lineRule="exact"/>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60"/>
              <w:spacing w:after="0" w:line="175" w:lineRule="exact"/>
              <w:rPr>
                <w:sz w:val="20"/>
                <w:szCs w:val="20"/>
                <w:color w:val="auto"/>
              </w:rPr>
            </w:pPr>
            <w:r>
              <w:rPr>
                <w:rFonts w:ascii="Arial" w:cs="Arial" w:eastAsia="Arial" w:hAnsi="Arial"/>
                <w:sz w:val="16"/>
                <w:szCs w:val="16"/>
                <w:b w:val="1"/>
                <w:bCs w:val="1"/>
                <w:color w:val="auto"/>
                <w:w w:val="84"/>
              </w:rPr>
              <w:t>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5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As</w:t>
            </w:r>
          </w:p>
        </w:tc>
        <w:tc>
          <w:tcPr>
            <w:tcW w:w="140" w:type="dxa"/>
            <w:vAlign w:val="bottom"/>
          </w:tcPr>
          <w:p>
            <w:pPr>
              <w:spacing w:after="0"/>
              <w:rPr>
                <w:sz w:val="16"/>
                <w:szCs w:val="16"/>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7"/>
              </w:rPr>
              <w:t>As</w:t>
            </w:r>
          </w:p>
        </w:tc>
      </w:tr>
      <w:tr>
        <w:trPr>
          <w:trHeight w:val="212"/>
        </w:trPr>
        <w:tc>
          <w:tcPr>
            <w:tcW w:w="5980" w:type="dxa"/>
            <w:vAlign w:val="bottom"/>
          </w:tcPr>
          <w:p>
            <w:pPr>
              <w:spacing w:after="0"/>
              <w:rPr>
                <w:sz w:val="18"/>
                <w:szCs w:val="18"/>
                <w:color w:val="auto"/>
              </w:rPr>
            </w:pPr>
          </w:p>
        </w:tc>
        <w:tc>
          <w:tcPr>
            <w:tcW w:w="1240" w:type="dxa"/>
            <w:vAlign w:val="bottom"/>
          </w:tcPr>
          <w:p>
            <w:pPr>
              <w:ind w:left="420"/>
              <w:spacing w:after="0"/>
              <w:rPr>
                <w:sz w:val="20"/>
                <w:szCs w:val="20"/>
                <w:color w:val="auto"/>
              </w:rPr>
            </w:pPr>
            <w:r>
              <w:rPr>
                <w:rFonts w:ascii="Arial" w:cs="Arial" w:eastAsia="Arial" w:hAnsi="Arial"/>
                <w:sz w:val="16"/>
                <w:szCs w:val="16"/>
                <w:b w:val="1"/>
                <w:bCs w:val="1"/>
                <w:color w:val="auto"/>
              </w:rPr>
              <w:t>Notes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Restated*</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Restated*</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b w:val="1"/>
                <w:bCs w:val="1"/>
                <w:color w:val="auto"/>
              </w:rPr>
              <w:t>Assets</w:t>
            </w: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8"/>
        </w:trPr>
        <w:tc>
          <w:tcPr>
            <w:tcW w:w="598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72,638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70,335</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74,915</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Right-of-use assets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40,167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43,195</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38,296</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6,803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7,020</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Intangible assets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30,171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27,583</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23,201</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Investments in joint ventures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2,443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Other financial assets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761</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7,067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21,769</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16,215</w:t>
            </w:r>
          </w:p>
        </w:tc>
        <w:tc>
          <w:tcPr>
            <w:tcW w:w="100" w:type="dxa"/>
            <w:vAlign w:val="bottom"/>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Other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4,531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3,111</w:t>
            </w:r>
          </w:p>
        </w:tc>
        <w:tc>
          <w:tcPr>
            <w:tcW w:w="100" w:type="dxa"/>
            <w:vAlign w:val="bottom"/>
          </w:tcPr>
          <w:p>
            <w:pPr>
              <w:spacing w:after="0"/>
              <w:rPr>
                <w:sz w:val="18"/>
                <w:szCs w:val="18"/>
                <w:color w:val="auto"/>
              </w:rPr>
            </w:pPr>
          </w:p>
        </w:tc>
      </w:tr>
      <w:tr>
        <w:trPr>
          <w:trHeight w:val="211"/>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non-current assets</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164,076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174,836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165,279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b w:val="1"/>
                <w:bCs w:val="1"/>
                <w:color w:val="auto"/>
              </w:rPr>
              <w:t>Current assets</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72,112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Trade and other receivables, net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117,449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96,493</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96,466</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Inventories, net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79,430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64,284</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65,002</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Amounts owed by related parties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2,562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2,144</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Current tax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8"/>
              </w:rPr>
              <w:t>11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22,082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16,774</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6,697</w:t>
            </w:r>
          </w:p>
        </w:tc>
        <w:tc>
          <w:tcPr>
            <w:tcW w:w="100" w:type="dxa"/>
            <w:vAlign w:val="bottom"/>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Other current assets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5,839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360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298,059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184,702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172,449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9"/>
        </w:trPr>
        <w:tc>
          <w:tcPr>
            <w:tcW w:w="598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 assets</w:t>
            </w:r>
          </w:p>
        </w:tc>
        <w:tc>
          <w:tcPr>
            <w:tcW w:w="1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462,135</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359,538</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337,728</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91"/>
        </w:trPr>
        <w:tc>
          <w:tcPr>
            <w:tcW w:w="59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 (Deficit)</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Share capital</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2,001</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 premium</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377,677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54,412</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54,412</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Reserves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42,749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39,897</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28,681</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(431,059)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(327,344)</w:t>
            </w:r>
          </w:p>
        </w:tc>
        <w:tc>
          <w:tcPr>
            <w:tcW w:w="14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(305,634)</w:t>
            </w: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(27,778)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(24,421)</w:t>
            </w:r>
          </w:p>
        </w:tc>
        <w:tc>
          <w:tcPr>
            <w:tcW w:w="1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6"/>
                <w:szCs w:val="16"/>
                <w:color w:val="auto"/>
              </w:rPr>
              <w:t>(23,753)</w:t>
            </w:r>
          </w:p>
        </w:tc>
      </w:tr>
      <w:tr>
        <w:trPr>
          <w:trHeight w:val="211"/>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Equity (deficit) attributable to owners of the company</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(37,400</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(255,455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(244,293</w:t>
            </w:r>
          </w:p>
        </w:tc>
        <w:tc>
          <w:tcPr>
            <w:tcW w:w="1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r>
      <w:tr>
        <w:trPr>
          <w:trHeight w:val="179"/>
        </w:trPr>
        <w:tc>
          <w:tcPr>
            <w:tcW w:w="598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Non-controlling interest</w:t>
            </w:r>
          </w:p>
        </w:tc>
        <w:tc>
          <w:tcPr>
            <w:tcW w:w="1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(940</w:t>
            </w:r>
          </w:p>
        </w:tc>
        <w:tc>
          <w:tcPr>
            <w:tcW w:w="160" w:type="dxa"/>
            <w:vAlign w:val="bottom"/>
            <w:tcBorders>
              <w:bottom w:val="single" w:sz="8" w:color="CCEEFF"/>
            </w:tcBorders>
          </w:tcPr>
          <w:p>
            <w:pPr>
              <w:jc w:val="right"/>
              <w:ind w:right="20"/>
              <w:spacing w:after="0" w:line="175" w:lineRule="exact"/>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777</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346</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1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equity (deficit)</w:t>
            </w: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(38,340</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(254,678</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(243,947</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b w:val="1"/>
                <w:bCs w:val="1"/>
                <w:color w:val="auto"/>
              </w:rPr>
              <w:t>Non-Current liabilities</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178,720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339,738</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320,462</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Amounts owed to related parties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12,163</w:t>
            </w:r>
          </w:p>
        </w:tc>
        <w:tc>
          <w:tcPr>
            <w:tcW w:w="140" w:type="dxa"/>
            <w:vAlign w:val="bottom"/>
          </w:tcPr>
          <w:p>
            <w:pPr>
              <w:spacing w:after="0"/>
              <w:rPr>
                <w:sz w:val="16"/>
                <w:szCs w:val="16"/>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Warrant liabilities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23,112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Shares held in escrow</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101,859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6,070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18,890</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7,659</w:t>
            </w:r>
          </w:p>
        </w:tc>
        <w:tc>
          <w:tcPr>
            <w:tcW w:w="100" w:type="dxa"/>
            <w:vAlign w:val="bottom"/>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Other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2,750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5,077</w:t>
            </w:r>
          </w:p>
        </w:tc>
        <w:tc>
          <w:tcPr>
            <w:tcW w:w="100" w:type="dxa"/>
            <w:vAlign w:val="bottom"/>
          </w:tcPr>
          <w:p>
            <w:pPr>
              <w:spacing w:after="0"/>
              <w:rPr>
                <w:sz w:val="18"/>
                <w:szCs w:val="18"/>
                <w:color w:val="auto"/>
              </w:rPr>
            </w:pPr>
          </w:p>
        </w:tc>
      </w:tr>
      <w:tr>
        <w:trPr>
          <w:trHeight w:val="211"/>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non-current liabilities</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312,511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374,588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333,198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b w:val="1"/>
                <w:bCs w:val="1"/>
                <w:color w:val="auto"/>
              </w:rPr>
              <w:t>Current liabilities</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74,646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114,780</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99,975</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Trade and other payables, net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85,381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94,116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104,608</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Amounts owed to related parties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8,450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25,091</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Current tax liabilities</w:t>
            </w:r>
          </w:p>
        </w:tc>
        <w:tc>
          <w:tcPr>
            <w:tcW w:w="1240" w:type="dxa"/>
            <w:vAlign w:val="bottom"/>
          </w:tcPr>
          <w:p>
            <w:pPr>
              <w:jc w:val="center"/>
              <w:spacing w:after="0"/>
              <w:rPr>
                <w:sz w:val="20"/>
                <w:szCs w:val="20"/>
                <w:color w:val="auto"/>
              </w:rPr>
            </w:pPr>
            <w:r>
              <w:rPr>
                <w:rFonts w:ascii="Arial" w:cs="Arial" w:eastAsia="Arial" w:hAnsi="Arial"/>
                <w:sz w:val="16"/>
                <w:szCs w:val="16"/>
                <w:color w:val="auto"/>
                <w:w w:val="78"/>
              </w:rPr>
              <w:t>11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11,756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9,393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7,542</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Provisions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2,276</w:t>
            </w:r>
          </w:p>
        </w:tc>
        <w:tc>
          <w:tcPr>
            <w:tcW w:w="100" w:type="dxa"/>
            <w:vAlign w:val="bottom"/>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Other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7,230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8,985</w:t>
            </w:r>
          </w:p>
        </w:tc>
        <w:tc>
          <w:tcPr>
            <w:tcW w:w="100" w:type="dxa"/>
            <w:vAlign w:val="bottom"/>
          </w:tcPr>
          <w:p>
            <w:pPr>
              <w:spacing w:after="0"/>
              <w:rPr>
                <w:sz w:val="18"/>
                <w:szCs w:val="18"/>
                <w:color w:val="auto"/>
              </w:rPr>
            </w:pPr>
          </w:p>
        </w:tc>
      </w:tr>
      <w:tr>
        <w:trPr>
          <w:trHeight w:val="211"/>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187,964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239,628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248,477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9"/>
        </w:trPr>
        <w:tc>
          <w:tcPr>
            <w:tcW w:w="5980" w:type="dxa"/>
            <w:vAlign w:val="bottom"/>
          </w:tcPr>
          <w:p>
            <w:pPr>
              <w:spacing w:after="0" w:line="175" w:lineRule="exact"/>
              <w:rPr>
                <w:sz w:val="20"/>
                <w:szCs w:val="20"/>
                <w:color w:val="auto"/>
              </w:rPr>
            </w:pPr>
            <w:r>
              <w:rPr>
                <w:rFonts w:ascii="Arial" w:cs="Arial" w:eastAsia="Arial" w:hAnsi="Arial"/>
                <w:sz w:val="16"/>
                <w:szCs w:val="16"/>
                <w:b w:val="1"/>
                <w:bCs w:val="1"/>
                <w:color w:val="auto"/>
              </w:rPr>
              <w:t>Total liabilities and stockholders’ equity (deficit)</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462,135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359,538</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337,728</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79"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Refer to Note 2.4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29" w:name="page130"/>
    <w:bookmarkEnd w:id="129"/>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Consolidated Statement of Changes in Equity</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As of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10"/>
          </w:tcPr>
          <w:p>
            <w:pPr>
              <w:jc w:val="right"/>
              <w:spacing w:after="0"/>
              <w:rPr>
                <w:sz w:val="20"/>
                <w:szCs w:val="20"/>
                <w:color w:val="auto"/>
              </w:rPr>
            </w:pPr>
            <w:r>
              <w:rPr>
                <w:rFonts w:ascii="Arial" w:cs="Arial" w:eastAsia="Arial" w:hAnsi="Arial"/>
                <w:sz w:val="16"/>
                <w:szCs w:val="16"/>
                <w:b w:val="1"/>
                <w:bCs w:val="1"/>
                <w:color w:val="auto"/>
              </w:rPr>
              <w:t>Attributable to equity holders of the Group</w:t>
            </w: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480"/>
              <w:spacing w:after="0" w:line="175"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40"/>
              <w:spacing w:after="0" w:line="175" w:lineRule="exact"/>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5"/>
                <w:szCs w:val="15"/>
                <w:color w:val="auto"/>
              </w:rPr>
            </w:pPr>
          </w:p>
        </w:tc>
        <w:tc>
          <w:tcPr>
            <w:tcW w:w="780" w:type="dxa"/>
            <w:vAlign w:val="bottom"/>
          </w:tcPr>
          <w:p>
            <w:pPr>
              <w:jc w:val="center"/>
              <w:ind w:right="60"/>
              <w:spacing w:after="0" w:line="175" w:lineRule="exact"/>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Share</w:t>
            </w:r>
          </w:p>
        </w:tc>
        <w:tc>
          <w:tcPr>
            <w:tcW w:w="80" w:type="dxa"/>
            <w:vAlign w:val="bottom"/>
          </w:tcPr>
          <w:p>
            <w:pPr>
              <w:spacing w:after="0"/>
              <w:rPr>
                <w:sz w:val="16"/>
                <w:szCs w:val="16"/>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w w:val="82"/>
              </w:rPr>
              <w:t xml:space="preserve">Reserves </w:t>
            </w:r>
            <w:r>
              <w:rPr>
                <w:rFonts w:ascii="Arial" w:cs="Arial" w:eastAsia="Arial" w:hAnsi="Arial"/>
                <w:sz w:val="26"/>
                <w:szCs w:val="26"/>
                <w:b w:val="1"/>
                <w:bCs w:val="1"/>
                <w:color w:val="auto"/>
                <w:w w:val="82"/>
                <w:vertAlign w:val="superscript"/>
              </w:rPr>
              <w:t>1</w:t>
            </w: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1340" w:type="dxa"/>
            <w:vAlign w:val="bottom"/>
            <w:gridSpan w:val="4"/>
          </w:tcPr>
          <w:p>
            <w:pPr>
              <w:ind w:left="80"/>
              <w:spacing w:after="0"/>
              <w:rPr>
                <w:sz w:val="20"/>
                <w:szCs w:val="20"/>
                <w:color w:val="auto"/>
              </w:rPr>
            </w:pPr>
            <w:r>
              <w:rPr>
                <w:rFonts w:ascii="Arial" w:cs="Arial" w:eastAsia="Arial" w:hAnsi="Arial"/>
                <w:sz w:val="16"/>
                <w:szCs w:val="16"/>
                <w:b w:val="1"/>
                <w:bCs w:val="1"/>
                <w:color w:val="auto"/>
              </w:rPr>
              <w:t>Comprehensive</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controlling</w:t>
            </w:r>
          </w:p>
        </w:tc>
        <w:tc>
          <w:tcPr>
            <w:tcW w:w="12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Issued Capital</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4"/>
              </w:rPr>
              <w:t>premium</w:t>
            </w:r>
          </w:p>
        </w:tc>
        <w:tc>
          <w:tcPr>
            <w:tcW w:w="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Income</w:t>
            </w:r>
          </w:p>
        </w:tc>
        <w:tc>
          <w:tcPr>
            <w:tcW w:w="2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interest</w:t>
            </w: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(deficit)</w:t>
            </w:r>
          </w:p>
        </w:tc>
        <w:tc>
          <w:tcPr>
            <w:tcW w:w="0" w:type="dxa"/>
            <w:vAlign w:val="bottom"/>
          </w:tcPr>
          <w:p>
            <w:pPr>
              <w:spacing w:after="0"/>
              <w:rPr>
                <w:sz w:val="1"/>
                <w:szCs w:val="1"/>
                <w:color w:val="auto"/>
              </w:rPr>
            </w:pPr>
          </w:p>
        </w:tc>
      </w:tr>
      <w:tr>
        <w:trPr>
          <w:trHeight w:val="211"/>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2019</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120,151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28,322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(254,617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(24,416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(128,067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(127,670</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75"/>
        </w:trPr>
        <w:tc>
          <w:tcPr>
            <w:tcW w:w="2300" w:type="dxa"/>
            <w:vAlign w:val="bottom"/>
          </w:tcPr>
          <w:p>
            <w:pPr>
              <w:spacing w:after="0" w:line="175" w:lineRule="exact"/>
              <w:rPr>
                <w:sz w:val="20"/>
                <w:szCs w:val="20"/>
                <w:color w:val="auto"/>
              </w:rPr>
            </w:pPr>
            <w:r>
              <w:rPr>
                <w:rFonts w:ascii="Arial" w:cs="Arial" w:eastAsia="Arial" w:hAnsi="Arial"/>
                <w:sz w:val="16"/>
                <w:szCs w:val="16"/>
                <w:color w:val="auto"/>
              </w:rPr>
              <w:t>Loss for the year</w:t>
            </w:r>
          </w:p>
        </w:tc>
        <w:tc>
          <w:tcPr>
            <w:tcW w:w="3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(17,008)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(17,008)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line="175" w:lineRule="exact"/>
              <w:rPr>
                <w:sz w:val="20"/>
                <w:szCs w:val="20"/>
                <w:color w:val="auto"/>
              </w:rPr>
            </w:pPr>
            <w:r>
              <w:rPr>
                <w:rFonts w:ascii="Arial" w:cs="Arial" w:eastAsia="Arial" w:hAnsi="Arial"/>
                <w:sz w:val="16"/>
                <w:szCs w:val="16"/>
                <w:color w:val="auto"/>
              </w:rPr>
              <w:t>(5)</w:t>
            </w:r>
          </w:p>
        </w:tc>
        <w:tc>
          <w:tcPr>
            <w:tcW w:w="12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(17,013)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Transfer reserves</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359</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300" w:type="dxa"/>
            <w:vAlign w:val="bottom"/>
          </w:tcPr>
          <w:p>
            <w:pPr>
              <w:ind w:left="160"/>
              <w:spacing w:after="0"/>
              <w:rPr>
                <w:sz w:val="20"/>
                <w:szCs w:val="20"/>
                <w:color w:val="auto"/>
              </w:rPr>
            </w:pPr>
            <w:r>
              <w:rPr>
                <w:rFonts w:ascii="Arial" w:cs="Arial" w:eastAsia="Arial" w:hAnsi="Arial"/>
                <w:sz w:val="16"/>
                <w:szCs w:val="16"/>
                <w:color w:val="auto"/>
              </w:rPr>
              <w:t>Other comprehensive income</w:t>
            </w:r>
          </w:p>
        </w:tc>
        <w:tc>
          <w:tcPr>
            <w:tcW w:w="3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709</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709</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Non-controlling interest</w:t>
            </w: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(46)</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(46)</w:t>
            </w:r>
          </w:p>
        </w:tc>
        <w:tc>
          <w:tcPr>
            <w:tcW w:w="0" w:type="dxa"/>
            <w:vAlign w:val="bottom"/>
          </w:tcPr>
          <w:p>
            <w:pPr>
              <w:spacing w:after="0"/>
              <w:rPr>
                <w:sz w:val="1"/>
                <w:szCs w:val="1"/>
                <w:color w:val="auto"/>
              </w:rPr>
            </w:pPr>
          </w:p>
        </w:tc>
      </w:tr>
      <w:tr>
        <w:trPr>
          <w:trHeight w:val="191"/>
        </w:trPr>
        <w:tc>
          <w:tcPr>
            <w:tcW w:w="2300" w:type="dxa"/>
            <w:vAlign w:val="bottom"/>
          </w:tcPr>
          <w:p>
            <w:pPr>
              <w:ind w:left="160"/>
              <w:spacing w:after="0"/>
              <w:rPr>
                <w:sz w:val="20"/>
                <w:szCs w:val="20"/>
                <w:color w:val="auto"/>
              </w:rPr>
            </w:pPr>
            <w:r>
              <w:rPr>
                <w:rFonts w:ascii="Arial" w:cs="Arial" w:eastAsia="Arial" w:hAnsi="Arial"/>
                <w:sz w:val="16"/>
                <w:szCs w:val="16"/>
                <w:color w:val="auto"/>
              </w:rPr>
              <w:t>Put option issued to Hoche</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(492)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(65,739)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(33,385)</w:t>
            </w: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(99,616)</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(99,616)</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(265)</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(265)</w:t>
            </w:r>
          </w:p>
        </w:tc>
        <w:tc>
          <w:tcPr>
            <w:tcW w:w="0" w:type="dxa"/>
            <w:vAlign w:val="bottom"/>
          </w:tcPr>
          <w:p>
            <w:pPr>
              <w:spacing w:after="0"/>
              <w:rPr>
                <w:sz w:val="1"/>
                <w:szCs w:val="1"/>
                <w:color w:val="auto"/>
              </w:rPr>
            </w:pPr>
          </w:p>
        </w:tc>
      </w:tr>
      <w:tr>
        <w:trPr>
          <w:trHeight w:val="147"/>
        </w:trPr>
        <w:tc>
          <w:tcPr>
            <w:tcW w:w="2300" w:type="dxa"/>
            <w:vAlign w:val="bottom"/>
            <w:tcBorders>
              <w:top w:val="single" w:sz="8" w:color="CCEEFF"/>
            </w:tcBorders>
          </w:tcPr>
          <w:p>
            <w:pPr>
              <w:spacing w:after="0" w:line="147" w:lineRule="exact"/>
              <w:rPr>
                <w:sz w:val="20"/>
                <w:szCs w:val="20"/>
                <w:color w:val="auto"/>
              </w:rPr>
            </w:pPr>
            <w:r>
              <w:rPr>
                <w:rFonts w:ascii="Arial" w:cs="Arial" w:eastAsia="Arial" w:hAnsi="Arial"/>
                <w:sz w:val="16"/>
                <w:szCs w:val="16"/>
                <w:b w:val="1"/>
                <w:bCs w:val="1"/>
                <w:color w:val="auto"/>
              </w:rPr>
              <w:t>Balance as of December 31,</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300" w:type="dxa"/>
            <w:vAlign w:val="bottom"/>
          </w:tcPr>
          <w:p>
            <w:pPr>
              <w:ind w:left="160"/>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2,001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54,412</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28,681</w:t>
            </w:r>
          </w:p>
        </w:tc>
        <w:tc>
          <w:tcPr>
            <w:tcW w:w="160" w:type="dxa"/>
            <w:vAlign w:val="bottom"/>
          </w:tcPr>
          <w:p>
            <w:pPr>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(305,634)</w:t>
            </w:r>
          </w:p>
        </w:tc>
        <w:tc>
          <w:tcPr>
            <w:tcW w:w="26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(23,753)</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(244,293)</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346</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(243,947)</w:t>
            </w:r>
          </w:p>
        </w:tc>
        <w:tc>
          <w:tcPr>
            <w:tcW w:w="0" w:type="dxa"/>
            <w:vAlign w:val="bottom"/>
          </w:tcPr>
          <w:p>
            <w:pPr>
              <w:spacing w:after="0"/>
              <w:rPr>
                <w:sz w:val="1"/>
                <w:szCs w:val="1"/>
                <w:color w:val="auto"/>
              </w:rPr>
            </w:pPr>
          </w:p>
        </w:tc>
      </w:tr>
      <w:tr>
        <w:trPr>
          <w:trHeight w:val="191"/>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for the year</w:t>
            </w:r>
          </w:p>
        </w:tc>
        <w:tc>
          <w:tcPr>
            <w:tcW w:w="3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(10,447)</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(10,447)</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(10,447)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160"/>
              <w:spacing w:after="0"/>
              <w:rPr>
                <w:sz w:val="20"/>
                <w:szCs w:val="20"/>
                <w:color w:val="auto"/>
              </w:rPr>
            </w:pPr>
            <w:r>
              <w:rPr>
                <w:rFonts w:ascii="Arial" w:cs="Arial" w:eastAsia="Arial" w:hAnsi="Arial"/>
                <w:sz w:val="16"/>
                <w:szCs w:val="16"/>
                <w:color w:val="auto"/>
              </w:rPr>
              <w:t>Transfer reserves</w:t>
            </w:r>
          </w:p>
        </w:tc>
        <w:tc>
          <w:tcPr>
            <w:tcW w:w="3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11,216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(11,216)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comprehensive income</w:t>
            </w: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(1,099)</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(1,099)</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(668)</w:t>
            </w:r>
          </w:p>
        </w:tc>
        <w:tc>
          <w:tcPr>
            <w:tcW w:w="0" w:type="dxa"/>
            <w:vAlign w:val="bottom"/>
          </w:tcPr>
          <w:p>
            <w:pPr>
              <w:spacing w:after="0"/>
              <w:rPr>
                <w:sz w:val="1"/>
                <w:szCs w:val="1"/>
                <w:color w:val="auto"/>
              </w:rPr>
            </w:pPr>
          </w:p>
        </w:tc>
      </w:tr>
      <w:tr>
        <w:trPr>
          <w:trHeight w:val="191"/>
        </w:trPr>
        <w:tc>
          <w:tcPr>
            <w:tcW w:w="2300" w:type="dxa"/>
            <w:vAlign w:val="bottom"/>
          </w:tcPr>
          <w:p>
            <w:pPr>
              <w:ind w:left="160"/>
              <w:spacing w:after="0"/>
              <w:rPr>
                <w:sz w:val="20"/>
                <w:szCs w:val="20"/>
                <w:color w:val="auto"/>
              </w:rPr>
            </w:pPr>
            <w:r>
              <w:rPr>
                <w:rFonts w:ascii="Arial" w:cs="Arial" w:eastAsia="Arial" w:hAnsi="Arial"/>
                <w:sz w:val="16"/>
                <w:szCs w:val="16"/>
                <w:color w:val="auto"/>
              </w:rPr>
              <w:t>Non-controlling interest</w:t>
            </w:r>
          </w:p>
        </w:tc>
        <w:tc>
          <w:tcPr>
            <w:tcW w:w="3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431</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431</w:t>
            </w: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(47)</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147"/>
        </w:trPr>
        <w:tc>
          <w:tcPr>
            <w:tcW w:w="2300" w:type="dxa"/>
            <w:vAlign w:val="bottom"/>
            <w:tcBorders>
              <w:top w:val="single" w:sz="8" w:color="CCEEFF"/>
            </w:tcBorders>
          </w:tcPr>
          <w:p>
            <w:pPr>
              <w:spacing w:after="0" w:line="147" w:lineRule="exact"/>
              <w:rPr>
                <w:sz w:val="20"/>
                <w:szCs w:val="20"/>
                <w:color w:val="auto"/>
              </w:rPr>
            </w:pPr>
            <w:r>
              <w:rPr>
                <w:rFonts w:ascii="Arial" w:cs="Arial" w:eastAsia="Arial" w:hAnsi="Arial"/>
                <w:sz w:val="16"/>
                <w:szCs w:val="16"/>
                <w:b w:val="1"/>
                <w:bCs w:val="1"/>
                <w:color w:val="auto"/>
              </w:rPr>
              <w:t>Balance as of December 31,</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300" w:type="dxa"/>
            <w:vAlign w:val="bottom"/>
          </w:tcPr>
          <w:p>
            <w:pPr>
              <w:ind w:left="160"/>
              <w:spacing w:after="0"/>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2,001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54,412</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39,897</w:t>
            </w:r>
          </w:p>
        </w:tc>
        <w:tc>
          <w:tcPr>
            <w:tcW w:w="160" w:type="dxa"/>
            <w:vAlign w:val="bottom"/>
          </w:tcPr>
          <w:p>
            <w:pPr>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(327,344)</w:t>
            </w:r>
          </w:p>
        </w:tc>
        <w:tc>
          <w:tcPr>
            <w:tcW w:w="26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(24,421)</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(255,455)</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777</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(254,678)</w:t>
            </w:r>
          </w:p>
        </w:tc>
        <w:tc>
          <w:tcPr>
            <w:tcW w:w="0" w:type="dxa"/>
            <w:vAlign w:val="bottom"/>
          </w:tcPr>
          <w:p>
            <w:pPr>
              <w:spacing w:after="0"/>
              <w:rPr>
                <w:sz w:val="1"/>
                <w:szCs w:val="1"/>
                <w:color w:val="auto"/>
              </w:rPr>
            </w:pPr>
          </w:p>
        </w:tc>
      </w:tr>
      <w:tr>
        <w:trPr>
          <w:trHeight w:val="191"/>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for the year 2</w:t>
            </w:r>
          </w:p>
        </w:tc>
        <w:tc>
          <w:tcPr>
            <w:tcW w:w="3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(100,863)</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(101,614)</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(101,614)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160"/>
              <w:spacing w:after="0"/>
              <w:rPr>
                <w:sz w:val="20"/>
                <w:szCs w:val="20"/>
                <w:color w:val="auto"/>
              </w:rPr>
            </w:pPr>
            <w:r>
              <w:rPr>
                <w:rFonts w:ascii="Arial" w:cs="Arial" w:eastAsia="Arial" w:hAnsi="Arial"/>
                <w:sz w:val="16"/>
                <w:szCs w:val="16"/>
                <w:color w:val="auto"/>
              </w:rPr>
              <w:t>Transfer reserves</w:t>
            </w:r>
          </w:p>
        </w:tc>
        <w:tc>
          <w:tcPr>
            <w:tcW w:w="3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2,852</w:t>
            </w: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(2,852)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comprehensive income</w:t>
            </w: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(889)</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(889)</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(1,717)</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(2,606)</w:t>
            </w:r>
          </w:p>
        </w:tc>
        <w:tc>
          <w:tcPr>
            <w:tcW w:w="0" w:type="dxa"/>
            <w:vAlign w:val="bottom"/>
          </w:tcPr>
          <w:p>
            <w:pPr>
              <w:spacing w:after="0"/>
              <w:rPr>
                <w:sz w:val="1"/>
                <w:szCs w:val="1"/>
                <w:color w:val="auto"/>
              </w:rPr>
            </w:pPr>
          </w:p>
        </w:tc>
      </w:tr>
      <w:tr>
        <w:trPr>
          <w:trHeight w:val="191"/>
        </w:trPr>
        <w:tc>
          <w:tcPr>
            <w:tcW w:w="2300" w:type="dxa"/>
            <w:vAlign w:val="bottom"/>
          </w:tcPr>
          <w:p>
            <w:pPr>
              <w:ind w:left="160"/>
              <w:spacing w:after="0"/>
              <w:rPr>
                <w:sz w:val="20"/>
                <w:szCs w:val="20"/>
                <w:color w:val="auto"/>
              </w:rPr>
            </w:pPr>
            <w:r>
              <w:rPr>
                <w:rFonts w:ascii="Arial" w:cs="Arial" w:eastAsia="Arial" w:hAnsi="Arial"/>
                <w:sz w:val="16"/>
                <w:szCs w:val="16"/>
                <w:color w:val="auto"/>
              </w:rPr>
              <w:t>Non-controlling interest</w:t>
            </w:r>
          </w:p>
        </w:tc>
        <w:tc>
          <w:tcPr>
            <w:tcW w:w="3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(1,717)</w:t>
            </w:r>
          </w:p>
        </w:tc>
        <w:tc>
          <w:tcPr>
            <w:tcW w:w="2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(1,717)</w:t>
            </w: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(1,717)</w:t>
            </w:r>
          </w:p>
        </w:tc>
        <w:tc>
          <w:tcPr>
            <w:tcW w:w="0" w:type="dxa"/>
            <w:vAlign w:val="bottom"/>
          </w:tcPr>
          <w:p>
            <w:pPr>
              <w:spacing w:after="0"/>
              <w:rPr>
                <w:sz w:val="1"/>
                <w:szCs w:val="1"/>
                <w:color w:val="auto"/>
              </w:rPr>
            </w:pPr>
          </w:p>
        </w:tc>
      </w:tr>
      <w:tr>
        <w:trPr>
          <w:trHeight w:val="179"/>
        </w:trPr>
        <w:tc>
          <w:tcPr>
            <w:tcW w:w="2300" w:type="dxa"/>
            <w:vAlign w:val="bottom"/>
            <w:shd w:val="clear" w:color="auto" w:fill="CCEEFF"/>
          </w:tcPr>
          <w:p>
            <w:pPr>
              <w:ind w:left="160"/>
              <w:spacing w:after="0" w:line="179" w:lineRule="exact"/>
              <w:rPr>
                <w:sz w:val="20"/>
                <w:szCs w:val="20"/>
                <w:color w:val="auto"/>
              </w:rPr>
            </w:pPr>
            <w:r>
              <w:rPr>
                <w:rFonts w:ascii="Arial" w:cs="Arial" w:eastAsia="Arial" w:hAnsi="Arial"/>
                <w:sz w:val="16"/>
                <w:szCs w:val="16"/>
                <w:color w:val="auto"/>
              </w:rPr>
              <w:t>Termination of put option</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298,699</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298,699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agreements</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297,796</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tcBorders>
              <w:righ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20"/>
                <w:szCs w:val="20"/>
                <w:color w:val="auto"/>
              </w:rPr>
            </w:pPr>
            <w:r>
              <w:rPr>
                <w:rFonts w:ascii="Arial" w:cs="Arial" w:eastAsia="Arial" w:hAnsi="Arial"/>
                <w:sz w:val="16"/>
                <w:szCs w:val="16"/>
                <w:b w:val="1"/>
                <w:bCs w:val="1"/>
                <w:color w:val="auto"/>
              </w:rPr>
              <w:t>Subtotal</w:t>
            </w:r>
          </w:p>
        </w:tc>
        <w:tc>
          <w:tcPr>
            <w:tcW w:w="3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2,904</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352,208</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42,749</w:t>
            </w: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(431,059)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(27,778)</w:t>
            </w:r>
          </w:p>
        </w:tc>
        <w:tc>
          <w:tcPr>
            <w:tcW w:w="2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(60,976)</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(940)</w:t>
            </w: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(61,916)</w:t>
            </w:r>
          </w:p>
        </w:tc>
        <w:tc>
          <w:tcPr>
            <w:tcW w:w="0" w:type="dxa"/>
            <w:vAlign w:val="bottom"/>
          </w:tcPr>
          <w:p>
            <w:pPr>
              <w:spacing w:after="0"/>
              <w:rPr>
                <w:sz w:val="1"/>
                <w:szCs w:val="1"/>
                <w:color w:val="auto"/>
              </w:rPr>
            </w:pPr>
          </w:p>
        </w:tc>
      </w:tr>
      <w:tr>
        <w:trPr>
          <w:trHeight w:val="179"/>
        </w:trPr>
        <w:tc>
          <w:tcPr>
            <w:tcW w:w="2300" w:type="dxa"/>
            <w:vAlign w:val="bottom"/>
            <w:shd w:val="clear" w:color="auto" w:fill="CCEEFF"/>
          </w:tcPr>
          <w:p>
            <w:pPr>
              <w:ind w:left="160"/>
              <w:spacing w:after="0" w:line="179" w:lineRule="exact"/>
              <w:rPr>
                <w:sz w:val="20"/>
                <w:szCs w:val="20"/>
                <w:color w:val="auto"/>
              </w:rPr>
            </w:pPr>
            <w:r>
              <w:rPr>
                <w:rFonts w:ascii="Arial" w:cs="Arial" w:eastAsia="Arial" w:hAnsi="Arial"/>
                <w:sz w:val="16"/>
                <w:szCs w:val="16"/>
                <w:color w:val="auto"/>
              </w:rPr>
              <w:t>Capital restructuring of</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Crynssen Pharma Group</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Limited (at exchange ratio of</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4"/>
        </w:trPr>
        <w:tc>
          <w:tcPr>
            <w:tcW w:w="2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1:33.4448)</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1,933</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20"/>
                <w:szCs w:val="20"/>
                <w:color w:val="auto"/>
              </w:rPr>
            </w:pPr>
            <w:r>
              <w:rPr>
                <w:rFonts w:ascii="Arial" w:cs="Arial" w:eastAsia="Arial" w:hAnsi="Arial"/>
                <w:sz w:val="16"/>
                <w:szCs w:val="16"/>
                <w:b w:val="1"/>
                <w:bCs w:val="1"/>
                <w:color w:val="auto"/>
              </w:rPr>
              <w:t>Subtotal - restructured</w:t>
            </w:r>
          </w:p>
        </w:tc>
        <w:tc>
          <w:tcPr>
            <w:tcW w:w="3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971</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354,141</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42,749</w:t>
            </w: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(431,059)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(27,778)</w:t>
            </w:r>
          </w:p>
        </w:tc>
        <w:tc>
          <w:tcPr>
            <w:tcW w:w="2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(60,976)</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(940)</w:t>
            </w: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(61,916)</w:t>
            </w:r>
          </w:p>
        </w:tc>
        <w:tc>
          <w:tcPr>
            <w:tcW w:w="0" w:type="dxa"/>
            <w:vAlign w:val="bottom"/>
          </w:tcPr>
          <w:p>
            <w:pPr>
              <w:spacing w:after="0"/>
              <w:rPr>
                <w:sz w:val="1"/>
                <w:szCs w:val="1"/>
                <w:color w:val="auto"/>
              </w:rPr>
            </w:pPr>
          </w:p>
        </w:tc>
      </w:tr>
      <w:tr>
        <w:trPr>
          <w:trHeight w:val="179"/>
        </w:trPr>
        <w:tc>
          <w:tcPr>
            <w:tcW w:w="2300" w:type="dxa"/>
            <w:vAlign w:val="bottom"/>
            <w:shd w:val="clear" w:color="auto" w:fill="CCEEFF"/>
          </w:tcPr>
          <w:p>
            <w:pPr>
              <w:ind w:left="160"/>
              <w:spacing w:after="0" w:line="179" w:lineRule="exact"/>
              <w:rPr>
                <w:sz w:val="20"/>
                <w:szCs w:val="20"/>
                <w:color w:val="auto"/>
              </w:rPr>
            </w:pPr>
            <w:r>
              <w:rPr>
                <w:rFonts w:ascii="Arial" w:cs="Arial" w:eastAsia="Arial" w:hAnsi="Arial"/>
                <w:sz w:val="16"/>
                <w:szCs w:val="16"/>
                <w:color w:val="auto"/>
              </w:rPr>
              <w:t>Acquisition of Union</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174,940</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174,940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Acquisition Corp. II</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174,738</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tcBorders>
              <w:righ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160"/>
              <w:spacing w:after="0"/>
              <w:rPr>
                <w:sz w:val="20"/>
                <w:szCs w:val="20"/>
                <w:color w:val="auto"/>
              </w:rPr>
            </w:pPr>
            <w:r>
              <w:rPr>
                <w:rFonts w:ascii="Arial" w:cs="Arial" w:eastAsia="Arial" w:hAnsi="Arial"/>
                <w:sz w:val="16"/>
                <w:szCs w:val="16"/>
                <w:color w:val="auto"/>
              </w:rPr>
              <w:t>Shares held in escrow</w:t>
            </w:r>
          </w:p>
        </w:tc>
        <w:tc>
          <w:tcPr>
            <w:tcW w:w="3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(106,247)</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(106,364)</w:t>
            </w: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(106,364)</w:t>
            </w:r>
          </w:p>
        </w:tc>
        <w:tc>
          <w:tcPr>
            <w:tcW w:w="0" w:type="dxa"/>
            <w:vAlign w:val="bottom"/>
          </w:tcPr>
          <w:p>
            <w:pPr>
              <w:spacing w:after="0"/>
              <w:rPr>
                <w:sz w:val="1"/>
                <w:szCs w:val="1"/>
                <w:color w:val="auto"/>
              </w:rPr>
            </w:pPr>
          </w:p>
        </w:tc>
      </w:tr>
      <w:tr>
        <w:trPr>
          <w:trHeight w:val="179"/>
        </w:trPr>
        <w:tc>
          <w:tcPr>
            <w:tcW w:w="2300" w:type="dxa"/>
            <w:vAlign w:val="bottom"/>
            <w:shd w:val="clear" w:color="auto" w:fill="CCEEFF"/>
          </w:tcPr>
          <w:p>
            <w:pPr>
              <w:ind w:left="160"/>
              <w:spacing w:after="0" w:line="179" w:lineRule="exact"/>
              <w:rPr>
                <w:sz w:val="20"/>
                <w:szCs w:val="20"/>
                <w:color w:val="auto"/>
              </w:rPr>
            </w:pPr>
            <w:r>
              <w:rPr>
                <w:rFonts w:ascii="Arial" w:cs="Arial" w:eastAsia="Arial" w:hAnsi="Arial"/>
                <w:sz w:val="16"/>
                <w:szCs w:val="16"/>
                <w:color w:val="auto"/>
              </w:rPr>
              <w:t>Redemption of redeemable</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(45,000)</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(45,000)</w:t>
            </w:r>
          </w:p>
        </w:tc>
        <w:tc>
          <w:tcPr>
            <w:tcW w:w="0" w:type="dxa"/>
            <w:vAlign w:val="bottom"/>
          </w:tcPr>
          <w:p>
            <w:pPr>
              <w:spacing w:after="0"/>
              <w:rPr>
                <w:sz w:val="1"/>
                <w:szCs w:val="1"/>
                <w:color w:val="auto"/>
              </w:rPr>
            </w:pPr>
          </w:p>
        </w:tc>
      </w:tr>
      <w:tr>
        <w:trPr>
          <w:trHeight w:val="236"/>
        </w:trPr>
        <w:tc>
          <w:tcPr>
            <w:tcW w:w="2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shares</w:t>
            </w: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(44,955)</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300" w:type="dxa"/>
            <w:vAlign w:val="bottom"/>
            <w:tcBorders>
              <w:top w:val="single" w:sz="8" w:color="CCEEFF"/>
            </w:tcBorders>
          </w:tcPr>
          <w:p>
            <w:pPr>
              <w:spacing w:after="0" w:line="147" w:lineRule="exact"/>
              <w:rPr>
                <w:sz w:val="20"/>
                <w:szCs w:val="20"/>
                <w:color w:val="auto"/>
              </w:rPr>
            </w:pPr>
            <w:r>
              <w:rPr>
                <w:rFonts w:ascii="Arial" w:cs="Arial" w:eastAsia="Arial" w:hAnsi="Arial"/>
                <w:sz w:val="16"/>
                <w:szCs w:val="16"/>
                <w:b w:val="1"/>
                <w:bCs w:val="1"/>
                <w:color w:val="auto"/>
              </w:rPr>
              <w:t>Balance as of December 31,</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2300" w:type="dxa"/>
            <w:vAlign w:val="bottom"/>
          </w:tcPr>
          <w:p>
            <w:pPr>
              <w:ind w:left="160"/>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1,011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377,677</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42,749</w:t>
            </w:r>
          </w:p>
        </w:tc>
        <w:tc>
          <w:tcPr>
            <w:tcW w:w="160" w:type="dxa"/>
            <w:vAlign w:val="bottom"/>
          </w:tcPr>
          <w:p>
            <w:pPr>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(431,059)</w:t>
            </w:r>
          </w:p>
        </w:tc>
        <w:tc>
          <w:tcPr>
            <w:tcW w:w="26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(27,778)</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(37,400)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(940)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(38,340)</w:t>
            </w:r>
          </w:p>
        </w:tc>
        <w:tc>
          <w:tcPr>
            <w:tcW w:w="0" w:type="dxa"/>
            <w:vAlign w:val="bottom"/>
          </w:tcPr>
          <w:p>
            <w:pPr>
              <w:spacing w:after="0"/>
              <w:rPr>
                <w:sz w:val="1"/>
                <w:szCs w:val="1"/>
                <w:color w:val="auto"/>
              </w:rPr>
            </w:pPr>
          </w:p>
        </w:tc>
      </w:tr>
      <w:tr>
        <w:trPr>
          <w:trHeight w:val="24"/>
        </w:trPr>
        <w:tc>
          <w:tcPr>
            <w:tcW w:w="2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284" w:hanging="284"/>
        <w:spacing w:after="0"/>
        <w:tabs>
          <w:tab w:leader="none" w:pos="284" w:val="left"/>
        </w:tabs>
        <w:numPr>
          <w:ilvl w:val="0"/>
          <w:numId w:val="62"/>
        </w:numPr>
        <w:rPr>
          <w:rFonts w:ascii="Arial" w:cs="Arial" w:eastAsia="Arial" w:hAnsi="Arial"/>
          <w:sz w:val="23"/>
          <w:szCs w:val="23"/>
          <w:color w:val="auto"/>
          <w:vertAlign w:val="superscript"/>
        </w:rPr>
      </w:pPr>
      <w:r>
        <w:rPr>
          <w:rFonts w:ascii="Arial" w:cs="Arial" w:eastAsia="Arial" w:hAnsi="Arial"/>
          <w:sz w:val="14"/>
          <w:szCs w:val="14"/>
          <w:color w:val="auto"/>
        </w:rPr>
        <w:t>Includes the appropriate values from net income to comply with legal provisions related to asset protection according to applicable jurisdictions with cumulative earnings.</w:t>
      </w:r>
    </w:p>
    <w:p>
      <w:pPr>
        <w:spacing w:after="0" w:line="178" w:lineRule="exact"/>
        <w:rPr>
          <w:sz w:val="20"/>
          <w:szCs w:val="20"/>
          <w:color w:val="auto"/>
        </w:rPr>
      </w:pPr>
    </w:p>
    <w:p>
      <w:pPr>
        <w:ind w:left="2844" w:right="2500" w:hanging="2844"/>
        <w:spacing w:after="0" w:line="479" w:lineRule="auto"/>
        <w:tabs>
          <w:tab w:leader="none" w:pos="285" w:val="left"/>
        </w:tabs>
        <w:numPr>
          <w:ilvl w:val="0"/>
          <w:numId w:val="63"/>
        </w:numPr>
        <w:rPr>
          <w:rFonts w:ascii="Arial" w:cs="Arial" w:eastAsia="Arial" w:hAnsi="Arial"/>
          <w:sz w:val="23"/>
          <w:szCs w:val="23"/>
          <w:color w:val="auto"/>
          <w:vertAlign w:val="superscript"/>
        </w:rPr>
      </w:pPr>
      <w:r>
        <w:rPr>
          <w:rFonts w:ascii="Arial" w:cs="Arial" w:eastAsia="Arial" w:hAnsi="Arial"/>
          <w:sz w:val="14"/>
          <w:szCs w:val="14"/>
          <w:color w:val="auto"/>
        </w:rPr>
        <w:t>Includes the OCI related to exchange difference from liquidated foreign transactions reclassified to Other Expenses, net during 2021. The accompanying notes are an integral part of these consolidated financial statements.</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130" w:name="page131"/>
    <w:bookmarkEnd w:id="130"/>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Consolidated Statement of Cash Flows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9"/>
          </w:tcPr>
          <w:p>
            <w:pPr>
              <w:jc w:val="center"/>
              <w:ind w:right="340"/>
              <w:spacing w:after="0"/>
              <w:rPr>
                <w:sz w:val="20"/>
                <w:szCs w:val="20"/>
                <w:color w:val="auto"/>
              </w:rPr>
            </w:pPr>
            <w:r>
              <w:rPr>
                <w:rFonts w:ascii="Arial" w:cs="Arial" w:eastAsia="Arial" w:hAnsi="Arial"/>
                <w:sz w:val="16"/>
                <w:szCs w:val="16"/>
                <w:b w:val="1"/>
                <w:bCs w:val="1"/>
                <w:color w:val="auto"/>
                <w:w w:val="89"/>
              </w:rPr>
              <w:t>For the year ended December 31</w:t>
            </w:r>
          </w:p>
        </w:tc>
      </w:tr>
      <w:tr>
        <w:trPr>
          <w:trHeight w:val="175"/>
        </w:trPr>
        <w:tc>
          <w:tcPr>
            <w:tcW w:w="5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80"/>
              <w:spacing w:after="0" w:line="175" w:lineRule="exact"/>
              <w:rPr>
                <w:sz w:val="20"/>
                <w:szCs w:val="20"/>
                <w:color w:val="auto"/>
              </w:rPr>
            </w:pPr>
            <w:r>
              <w:rPr>
                <w:rFonts w:ascii="Arial" w:cs="Arial" w:eastAsia="Arial" w:hAnsi="Arial"/>
                <w:sz w:val="16"/>
                <w:szCs w:val="16"/>
                <w:b w:val="1"/>
                <w:bCs w:val="1"/>
                <w:color w:val="auto"/>
                <w:w w:val="89"/>
              </w:rPr>
              <w:t>2020</w:t>
            </w: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60"/>
              <w:spacing w:after="0" w:line="175" w:lineRule="exact"/>
              <w:rPr>
                <w:sz w:val="20"/>
                <w:szCs w:val="20"/>
                <w:color w:val="auto"/>
              </w:rPr>
            </w:pPr>
            <w:r>
              <w:rPr>
                <w:rFonts w:ascii="Arial" w:cs="Arial" w:eastAsia="Arial" w:hAnsi="Arial"/>
                <w:sz w:val="16"/>
                <w:szCs w:val="16"/>
                <w:b w:val="1"/>
                <w:bCs w:val="1"/>
                <w:color w:val="auto"/>
                <w:w w:val="84"/>
              </w:rPr>
              <w:t>2019</w:t>
            </w:r>
          </w:p>
        </w:tc>
        <w:tc>
          <w:tcPr>
            <w:tcW w:w="120" w:type="dxa"/>
            <w:vAlign w:val="bottom"/>
          </w:tcPr>
          <w:p>
            <w:pPr>
              <w:spacing w:after="0"/>
              <w:rPr>
                <w:sz w:val="15"/>
                <w:szCs w:val="15"/>
                <w:color w:val="auto"/>
              </w:rPr>
            </w:pPr>
          </w:p>
        </w:tc>
      </w:tr>
      <w:tr>
        <w:trPr>
          <w:trHeight w:val="191"/>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As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As</w:t>
            </w:r>
          </w:p>
        </w:tc>
      </w:tr>
      <w:tr>
        <w:trPr>
          <w:trHeight w:val="212"/>
        </w:trPr>
        <w:tc>
          <w:tcPr>
            <w:tcW w:w="5980" w:type="dxa"/>
            <w:vAlign w:val="bottom"/>
          </w:tcPr>
          <w:p>
            <w:pPr>
              <w:spacing w:after="0"/>
              <w:rPr>
                <w:sz w:val="18"/>
                <w:szCs w:val="18"/>
                <w:color w:val="auto"/>
              </w:rPr>
            </w:pPr>
          </w:p>
        </w:tc>
        <w:tc>
          <w:tcPr>
            <w:tcW w:w="1360" w:type="dxa"/>
            <w:vAlign w:val="bottom"/>
            <w:gridSpan w:val="2"/>
          </w:tcPr>
          <w:p>
            <w:pPr>
              <w:ind w:left="360"/>
              <w:spacing w:after="0"/>
              <w:rPr>
                <w:sz w:val="20"/>
                <w:szCs w:val="20"/>
                <w:color w:val="auto"/>
              </w:rPr>
            </w:pPr>
            <w:r>
              <w:rPr>
                <w:rFonts w:ascii="Arial" w:cs="Arial" w:eastAsia="Arial" w:hAnsi="Arial"/>
                <w:sz w:val="16"/>
                <w:szCs w:val="16"/>
                <w:b w:val="1"/>
                <w:bCs w:val="1"/>
                <w:color w:val="auto"/>
              </w:rPr>
              <w:t>Notes</w:t>
            </w:r>
          </w:p>
        </w:tc>
        <w:tc>
          <w:tcPr>
            <w:tcW w:w="24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Restated*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Restated*</w:t>
            </w:r>
          </w:p>
        </w:tc>
      </w:tr>
      <w:tr>
        <w:trPr>
          <w:trHeight w:val="191"/>
        </w:trPr>
        <w:tc>
          <w:tcPr>
            <w:tcW w:w="598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1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for the year</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(100,863)</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(10,447)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(17,013)</w:t>
            </w:r>
          </w:p>
        </w:tc>
      </w:tr>
      <w:tr>
        <w:trPr>
          <w:trHeight w:val="191"/>
        </w:trPr>
        <w:tc>
          <w:tcPr>
            <w:tcW w:w="5980" w:type="dxa"/>
            <w:vAlign w:val="bottom"/>
          </w:tcPr>
          <w:p>
            <w:pPr>
              <w:spacing w:after="0"/>
              <w:rPr>
                <w:sz w:val="20"/>
                <w:szCs w:val="20"/>
                <w:color w:val="auto"/>
              </w:rPr>
            </w:pPr>
            <w:r>
              <w:rPr>
                <w:rFonts w:ascii="Arial" w:cs="Arial" w:eastAsia="Arial" w:hAnsi="Arial"/>
                <w:sz w:val="16"/>
                <w:szCs w:val="16"/>
                <w:i w:val="1"/>
                <w:iCs w:val="1"/>
                <w:color w:val="auto"/>
              </w:rPr>
              <w:t>Adjustments to reconcile net loss with net cash from operating activities: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14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6,773</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Depreciation of right-of-use assets</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15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4,598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5,133</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13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4,560</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Income tax expense</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11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13,705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11,296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7,035</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expenses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78,636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54,489</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42,983</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IFRS 2 Share-based payment expense (listing expense)</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10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73,917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 of result of joint ventures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(806)</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(240)</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Net (gain)/loss on sale of property, plant and equipment</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14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115</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(gain)/loss on sale or disposal of intangibles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13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161</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(7,157)</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Inventory provision</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17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5,391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1,616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514</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Reversed provision for bad debt</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18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(1,915)</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(430)</w:t>
            </w:r>
          </w:p>
        </w:tc>
      </w:tr>
      <w:tr>
        <w:trPr>
          <w:trHeight w:val="207"/>
        </w:trPr>
        <w:tc>
          <w:tcPr>
            <w:tcW w:w="5980" w:type="dxa"/>
            <w:vAlign w:val="bottom"/>
          </w:tcPr>
          <w:p>
            <w:pPr>
              <w:ind w:left="140"/>
              <w:spacing w:after="0"/>
              <w:rPr>
                <w:sz w:val="20"/>
                <w:szCs w:val="20"/>
                <w:color w:val="auto"/>
              </w:rPr>
            </w:pPr>
            <w:r>
              <w:rPr>
                <w:rFonts w:ascii="Arial" w:cs="Arial" w:eastAsia="Arial" w:hAnsi="Arial"/>
                <w:sz w:val="16"/>
                <w:szCs w:val="16"/>
                <w:color w:val="auto"/>
              </w:rPr>
              <w:t>Provisions</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761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 from operating activities before changes in working capital</w:t>
            </w: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85,067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71,766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42,285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(Increase)/decrease in operating assets and liabilities: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Trade and other receivables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(21,257)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6,741</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 owed by related parties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(613)</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(249)</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(20,536)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(898)</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(1,713)</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tax assets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(10,077)</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(1,047)</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Other current assets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(5,441)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(9,635)</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(9,826)</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and other payables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32,825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32,642</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Amounts owed to related parties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(3,448)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246</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tax liabilities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(2,147)</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Other liabilities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(12,936)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12,014</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10,305</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22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(821)</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Other financial assets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370</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757</w:t>
            </w:r>
          </w:p>
        </w:tc>
      </w:tr>
      <w:tr>
        <w:trPr>
          <w:trHeight w:val="223"/>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(1,354)</w:t>
            </w:r>
          </w:p>
        </w:tc>
      </w:tr>
      <w:tr>
        <w:trPr>
          <w:trHeight w:val="179"/>
        </w:trPr>
        <w:tc>
          <w:tcPr>
            <w:tcW w:w="598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Cash generated from operations</w:t>
            </w:r>
          </w:p>
        </w:tc>
        <w:tc>
          <w:tcPr>
            <w:tcW w:w="1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50,262</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85,899</w:t>
            </w:r>
          </w:p>
        </w:tc>
        <w:tc>
          <w:tcPr>
            <w:tcW w:w="22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76,602</w:t>
            </w:r>
          </w:p>
        </w:tc>
        <w:tc>
          <w:tcPr>
            <w:tcW w:w="120" w:type="dxa"/>
            <w:vAlign w:val="bottom"/>
            <w:tcBorders>
              <w:top w:val="single" w:sz="8" w:color="CCEEFF"/>
              <w:bottom w:val="single" w:sz="8" w:color="CCEEFF"/>
            </w:tcBorders>
          </w:tcPr>
          <w:p>
            <w:pPr>
              <w:spacing w:after="0"/>
              <w:rPr>
                <w:sz w:val="15"/>
                <w:szCs w:val="15"/>
                <w:color w:val="auto"/>
              </w:rPr>
            </w:pPr>
          </w:p>
        </w:tc>
      </w:tr>
      <w:tr>
        <w:trPr>
          <w:trHeight w:val="191"/>
        </w:trPr>
        <w:tc>
          <w:tcPr>
            <w:tcW w:w="59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160"/>
              <w:spacing w:after="0"/>
              <w:rPr>
                <w:sz w:val="20"/>
                <w:szCs w:val="20"/>
                <w:color w:val="auto"/>
              </w:rPr>
            </w:pPr>
            <w:r>
              <w:rPr>
                <w:rFonts w:ascii="Arial" w:cs="Arial" w:eastAsia="Arial" w:hAnsi="Arial"/>
                <w:sz w:val="16"/>
                <w:szCs w:val="16"/>
                <w:color w:val="auto"/>
              </w:rPr>
              <w:t>Interest paid</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(1,697)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(1,839)</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(2,216)</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received</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5980" w:type="dxa"/>
            <w:vAlign w:val="bottom"/>
          </w:tcPr>
          <w:p>
            <w:pPr>
              <w:ind w:left="140"/>
              <w:spacing w:after="0"/>
              <w:rPr>
                <w:sz w:val="20"/>
                <w:szCs w:val="20"/>
                <w:color w:val="auto"/>
              </w:rPr>
            </w:pPr>
            <w:r>
              <w:rPr>
                <w:rFonts w:ascii="Arial" w:cs="Arial" w:eastAsia="Arial" w:hAnsi="Arial"/>
                <w:sz w:val="16"/>
                <w:szCs w:val="16"/>
                <w:color w:val="auto"/>
              </w:rPr>
              <w:t>Income tax paid</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(11,562)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(13,140)</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(6,100)</w:t>
            </w:r>
          </w:p>
        </w:tc>
      </w:tr>
      <w:tr>
        <w:trPr>
          <w:trHeight w:val="191"/>
        </w:trPr>
        <w:tc>
          <w:tcPr>
            <w:tcW w:w="59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b w:val="1"/>
                <w:bCs w:val="1"/>
                <w:color w:val="auto"/>
              </w:rPr>
              <w:t>Cash flow provided by operating activities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37,303</w:t>
            </w:r>
          </w:p>
        </w:tc>
        <w:tc>
          <w:tcPr>
            <w:tcW w:w="24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70,920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68,286</w:t>
            </w:r>
          </w:p>
        </w:tc>
      </w:tr>
      <w:tr>
        <w:trPr>
          <w:trHeight w:val="191"/>
        </w:trPr>
        <w:tc>
          <w:tcPr>
            <w:tcW w:w="59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plant and equipment</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14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(14,122)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(7,699)</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(11,802)</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632</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276</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intangibles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13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(10,403)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(10,219)</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(7,896)</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Proceeds from sale of intangible assets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7,310</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Advances to related parties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29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(289)</w:t>
            </w:r>
          </w:p>
        </w:tc>
      </w:tr>
      <w:tr>
        <w:trPr>
          <w:trHeight w:val="207"/>
        </w:trPr>
        <w:tc>
          <w:tcPr>
            <w:tcW w:w="5980" w:type="dxa"/>
            <w:vAlign w:val="bottom"/>
          </w:tcPr>
          <w:p>
            <w:pPr>
              <w:ind w:left="140"/>
              <w:spacing w:after="0"/>
              <w:rPr>
                <w:sz w:val="20"/>
                <w:szCs w:val="20"/>
                <w:color w:val="auto"/>
              </w:rPr>
            </w:pPr>
            <w:r>
              <w:rPr>
                <w:rFonts w:ascii="Arial" w:cs="Arial" w:eastAsia="Arial" w:hAnsi="Arial"/>
                <w:sz w:val="16"/>
                <w:szCs w:val="16"/>
                <w:color w:val="auto"/>
              </w:rPr>
              <w:t>Proceeds from related parties</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195</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332</w:t>
            </w:r>
          </w:p>
        </w:tc>
      </w:tr>
      <w:tr>
        <w:trPr>
          <w:trHeight w:val="191"/>
        </w:trPr>
        <w:tc>
          <w:tcPr>
            <w:tcW w:w="59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b w:val="1"/>
                <w:bCs w:val="1"/>
                <w:color w:val="auto"/>
              </w:rPr>
              <w:t>Cash flow used in investing activities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(23,703)</w:t>
            </w:r>
          </w:p>
        </w:tc>
        <w:tc>
          <w:tcPr>
            <w:tcW w:w="24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(17,091)</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(12,069)</w:t>
            </w:r>
          </w:p>
        </w:tc>
      </w:tr>
      <w:tr>
        <w:trPr>
          <w:trHeight w:val="191"/>
        </w:trPr>
        <w:tc>
          <w:tcPr>
            <w:tcW w:w="59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19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280,795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106,736</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96,392</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Payments on borrowings</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19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(272,301)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(120,586)</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(118,417)</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Advances from related parties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29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Payments to related parties</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29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(9,154)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(5,856)</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(4,570)</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 on borrowings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(17,428)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(15,102)</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(16,284)</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Payment of lease liabilities</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19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(8,854)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(5,733)</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(4,070)</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Redeemed shares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23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5980" w:type="dxa"/>
            <w:vAlign w:val="bottom"/>
          </w:tcPr>
          <w:p>
            <w:pPr>
              <w:ind w:left="140"/>
              <w:spacing w:after="0"/>
              <w:rPr>
                <w:sz w:val="20"/>
                <w:szCs w:val="20"/>
                <w:color w:val="auto"/>
              </w:rPr>
            </w:pPr>
            <w:r>
              <w:rPr>
                <w:rFonts w:ascii="Arial" w:cs="Arial" w:eastAsia="Arial" w:hAnsi="Arial"/>
                <w:sz w:val="16"/>
                <w:szCs w:val="16"/>
                <w:color w:val="auto"/>
              </w:rPr>
              <w:t>Cash obtained in acquisition</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129,986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59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b w:val="1"/>
                <w:bCs w:val="1"/>
                <w:color w:val="auto"/>
              </w:rPr>
              <w:t>Cash flow generated from (used in) financing activities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58,044</w:t>
            </w:r>
          </w:p>
        </w:tc>
        <w:tc>
          <w:tcPr>
            <w:tcW w:w="24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(40,509)</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(46,949)</w:t>
            </w:r>
          </w:p>
        </w:tc>
      </w:tr>
      <w:tr>
        <w:trPr>
          <w:trHeight w:val="191"/>
        </w:trPr>
        <w:tc>
          <w:tcPr>
            <w:tcW w:w="59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b w:val="1"/>
                <w:bCs w:val="1"/>
                <w:color w:val="auto"/>
              </w:rPr>
              <w:t>Net increase in cash</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71,644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13,320</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9,268</w:t>
            </w: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Cash at beginning of the year/period</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2,844</w:t>
            </w: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Effect of exchange rate fluctuations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(3,761)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(11,133)</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(10,070)</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at end of the year/period</w:t>
            </w: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72,112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4,229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9"/>
        </w:trPr>
        <w:tc>
          <w:tcPr>
            <w:tcW w:w="5980" w:type="dxa"/>
            <w:vAlign w:val="bottom"/>
            <w:shd w:val="clear" w:color="auto" w:fill="CCEEFF"/>
          </w:tcPr>
          <w:p>
            <w:pPr>
              <w:spacing w:after="0" w:line="238" w:lineRule="exact"/>
              <w:rPr>
                <w:sz w:val="20"/>
                <w:szCs w:val="20"/>
                <w:color w:val="auto"/>
              </w:rPr>
            </w:pPr>
            <w:r>
              <w:rPr>
                <w:rFonts w:ascii="Arial" w:cs="Arial" w:eastAsia="Arial" w:hAnsi="Arial"/>
                <w:sz w:val="16"/>
                <w:szCs w:val="16"/>
                <w:b w:val="1"/>
                <w:bCs w:val="1"/>
                <w:color w:val="auto"/>
              </w:rPr>
              <w:t xml:space="preserve">Non-cash financing and investing activities </w:t>
            </w:r>
            <w:r>
              <w:rPr>
                <w:rFonts w:ascii="Arial" w:cs="Arial" w:eastAsia="Arial" w:hAnsi="Arial"/>
                <w:sz w:val="26"/>
                <w:szCs w:val="26"/>
                <w:b w:val="1"/>
                <w:bCs w:val="1"/>
                <w:color w:val="auto"/>
                <w:vertAlign w:val="superscript"/>
              </w:rPr>
              <w:t>1</w:t>
            </w: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(145,286)</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40,759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166,013</w:t>
            </w:r>
          </w:p>
        </w:tc>
      </w:tr>
      <w:tr>
        <w:trPr>
          <w:trHeight w:val="24"/>
        </w:trPr>
        <w:tc>
          <w:tcPr>
            <w:tcW w:w="5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both"/>
        <w:ind w:left="284" w:hanging="284"/>
        <w:spacing w:after="0" w:line="252" w:lineRule="auto"/>
        <w:tabs>
          <w:tab w:leader="none" w:pos="284" w:val="left"/>
        </w:tabs>
        <w:numPr>
          <w:ilvl w:val="0"/>
          <w:numId w:val="64"/>
        </w:numPr>
        <w:rPr>
          <w:rFonts w:ascii="Arial" w:cs="Arial" w:eastAsia="Arial" w:hAnsi="Arial"/>
          <w:sz w:val="23"/>
          <w:szCs w:val="23"/>
          <w:color w:val="auto"/>
          <w:vertAlign w:val="superscript"/>
        </w:rPr>
      </w:pPr>
      <w:r>
        <w:rPr>
          <w:rFonts w:ascii="Arial" w:cs="Arial" w:eastAsia="Arial" w:hAnsi="Arial"/>
          <w:sz w:val="14"/>
          <w:szCs w:val="14"/>
          <w:color w:val="auto"/>
        </w:rPr>
        <w:t>As of December 31, 2021, non-cash investing and financing activities include acquisition of right-of-use assets $7,283 (2020: $11,022, 2019: $5,335), interest capitalization on property, plant and equipment under IAS 23 $571, 50% purchase price of acquisition of Pharmaceutical Production Facility $744, termination of the put option agreements in exchange for new equity instruments in Procaps Group S.A. $(239,273) (Refer to Note 23), conversion of SPAC Warrants to Warrants in Procaps Group S.A. $28,963, invoices from suppliers financed via reverse factoring classified as Trade and other payables $8,288 (2020: $7,311, 2019: $38,576) and invoices from</w:t>
      </w:r>
    </w:p>
    <w:p>
      <w:pPr>
        <w:sectPr>
          <w:pgSz w:w="11900" w:h="16838" w:orient="portrait"/>
          <w:cols w:equalWidth="0" w:num="1">
            <w:col w:w="11264"/>
          </w:cols>
          <w:pgMar w:left="316" w:top="792" w:right="319" w:bottom="0" w:gutter="0" w:footer="0" w:header="0"/>
        </w:sectPr>
      </w:pPr>
    </w:p>
    <w:bookmarkStart w:id="131" w:name="page132"/>
    <w:bookmarkEnd w:id="131"/>
    <w:p>
      <w:pPr>
        <w:ind w:left="284"/>
        <w:spacing w:after="0" w:line="275" w:lineRule="auto"/>
        <w:rPr>
          <w:sz w:val="20"/>
          <w:szCs w:val="20"/>
          <w:color w:val="auto"/>
        </w:rPr>
      </w:pPr>
      <w:r>
        <w:rPr>
          <w:rFonts w:ascii="Arial" w:cs="Arial" w:eastAsia="Arial" w:hAnsi="Arial"/>
          <w:sz w:val="16"/>
          <w:szCs w:val="16"/>
          <w:color w:val="auto"/>
        </w:rPr>
        <w:t>suppliers financed via reverse factoring classified as Borrowings $48,138 (2020: $22,426, 2019: $22,486). For the year ended December 31, 2019, it also included the issuance of put option agreements for $99,616.</w:t>
      </w:r>
    </w:p>
    <w:p>
      <w:pPr>
        <w:spacing w:after="0" w:line="152" w:lineRule="exact"/>
        <w:rPr>
          <w:sz w:val="20"/>
          <w:szCs w:val="20"/>
          <w:color w:val="auto"/>
        </w:rPr>
      </w:pPr>
    </w:p>
    <w:p>
      <w:pPr>
        <w:ind w:left="284" w:hanging="284"/>
        <w:spacing w:after="0"/>
        <w:tabs>
          <w:tab w:leader="none" w:pos="284"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Refer to Note 2.4</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127"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General Company Information</w:t>
      </w:r>
    </w:p>
    <w:p>
      <w:pPr>
        <w:spacing w:after="0" w:line="202"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Procaps Group S.A., a public limited liability company (société anonyme) governed by the laws of the Grand Duchy of Luxembourg and its subsidiaries (“the Group”) primarily engages in developing, producing and marketing pharmaceutical solutions. Further information about the Group’s business activities, reportable segments and related party relationships of the Group is included in Note 7. Revenue, Note 8. Segment reporting and Note 29. Related party transactions, respectively.</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Group’s principal subsidiaries as of December 2021, 2020 and 2019 are set out below. Unless otherwise stated, they have share capital consisting solely of ordinary shares that are held directly by the Group, and the proportion of ownership interests held equals the voting rights held by the Group. The country of incorporation or registration is also their principal place of business.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6"/>
                <w:szCs w:val="16"/>
                <w:b w:val="1"/>
                <w:bCs w:val="1"/>
                <w:color w:val="auto"/>
              </w:rPr>
              <w:t>Place of</w:t>
            </w: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6"/>
              </w:rPr>
              <w:t>Ownership interests held by:</w:t>
            </w: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00" w:type="dxa"/>
            <w:vAlign w:val="bottom"/>
          </w:tcPr>
          <w:p>
            <w:pPr>
              <w:spacing w:after="0"/>
              <w:rPr>
                <w:sz w:val="18"/>
                <w:szCs w:val="18"/>
                <w:color w:val="auto"/>
              </w:rPr>
            </w:pPr>
          </w:p>
        </w:tc>
        <w:tc>
          <w:tcPr>
            <w:tcW w:w="1360" w:type="dxa"/>
            <w:vAlign w:val="bottom"/>
            <w:gridSpan w:val="3"/>
          </w:tcPr>
          <w:p>
            <w:pPr>
              <w:ind w:left="100"/>
              <w:spacing w:after="0"/>
              <w:rPr>
                <w:sz w:val="20"/>
                <w:szCs w:val="20"/>
                <w:color w:val="auto"/>
              </w:rPr>
            </w:pPr>
            <w:r>
              <w:rPr>
                <w:rFonts w:ascii="Arial" w:cs="Arial" w:eastAsia="Arial" w:hAnsi="Arial"/>
                <w:sz w:val="16"/>
                <w:szCs w:val="16"/>
                <w:b w:val="1"/>
                <w:bCs w:val="1"/>
                <w:color w:val="auto"/>
                <w:w w:val="93"/>
              </w:rPr>
              <w:t>business/country</w:t>
            </w: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1"/>
              </w:rPr>
              <w:t>The Group</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w w:val="88"/>
              </w:rPr>
              <w:t>Non-controlling interests</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00" w:type="dxa"/>
            <w:vAlign w:val="bottom"/>
          </w:tcPr>
          <w:p>
            <w:pPr>
              <w:spacing w:after="0"/>
              <w:rPr>
                <w:sz w:val="20"/>
                <w:szCs w:val="20"/>
                <w:color w:val="auto"/>
              </w:rPr>
            </w:pPr>
            <w:r>
              <w:rPr>
                <w:rFonts w:ascii="Arial" w:cs="Arial" w:eastAsia="Arial" w:hAnsi="Arial"/>
                <w:sz w:val="16"/>
                <w:szCs w:val="16"/>
                <w:b w:val="1"/>
                <w:bCs w:val="1"/>
                <w:color w:val="auto"/>
              </w:rPr>
              <w:t>Name of entity</w:t>
            </w:r>
          </w:p>
        </w:tc>
        <w:tc>
          <w:tcPr>
            <w:tcW w:w="10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of incorporation</w:t>
            </w:r>
          </w:p>
        </w:tc>
        <w:tc>
          <w:tcPr>
            <w:tcW w:w="760" w:type="dxa"/>
            <w:vAlign w:val="bottom"/>
          </w:tcPr>
          <w:p>
            <w:pPr>
              <w:jc w:val="right"/>
              <w:ind w:right="140"/>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220"/>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8"/>
                <w:szCs w:val="18"/>
                <w:color w:val="auto"/>
              </w:rPr>
            </w:pPr>
          </w:p>
        </w:tc>
        <w:tc>
          <w:tcPr>
            <w:tcW w:w="760" w:type="dxa"/>
            <w:vAlign w:val="bottom"/>
          </w:tcPr>
          <w:p>
            <w:pPr>
              <w:ind w:left="220"/>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9"/>
              </w:rPr>
              <w:t>2019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ind w:left="460"/>
              <w:spacing w:after="0"/>
              <w:rPr>
                <w:sz w:val="20"/>
                <w:szCs w:val="20"/>
                <w:color w:val="auto"/>
              </w:rPr>
            </w:pPr>
            <w:r>
              <w:rPr>
                <w:rFonts w:ascii="Arial" w:cs="Arial" w:eastAsia="Arial" w:hAnsi="Arial"/>
                <w:sz w:val="16"/>
                <w:szCs w:val="16"/>
                <w:b w:val="1"/>
                <w:bCs w:val="1"/>
                <w:color w:val="auto"/>
              </w:rPr>
              <w:t>Principal activities</w:t>
            </w:r>
          </w:p>
        </w:tc>
        <w:tc>
          <w:tcPr>
            <w:tcW w:w="0" w:type="dxa"/>
            <w:vAlign w:val="bottom"/>
          </w:tcPr>
          <w:p>
            <w:pPr>
              <w:spacing w:after="0"/>
              <w:rPr>
                <w:sz w:val="1"/>
                <w:szCs w:val="1"/>
                <w:color w:val="auto"/>
              </w:rPr>
            </w:pPr>
          </w:p>
        </w:tc>
      </w:tr>
      <w:tr>
        <w:trPr>
          <w:trHeight w:val="179"/>
        </w:trPr>
        <w:tc>
          <w:tcPr>
            <w:tcW w:w="160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rPr>
              <w:t>Procaps S.A.</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rPr>
              <w:t>Colombia</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w w:val="93"/>
              </w:rPr>
              <w:t>Manufacturing and distribution of</w:t>
            </w: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100%</w:t>
            </w: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w w:val="92"/>
              </w:rPr>
              <w:t>prescription and over-the-counter</w:t>
            </w:r>
          </w:p>
        </w:tc>
        <w:tc>
          <w:tcPr>
            <w:tcW w:w="0" w:type="dxa"/>
            <w:vAlign w:val="bottom"/>
          </w:tcPr>
          <w:p>
            <w:pPr>
              <w:spacing w:after="0"/>
              <w:rPr>
                <w:sz w:val="1"/>
                <w:szCs w:val="1"/>
                <w:color w:val="auto"/>
              </w:rPr>
            </w:pPr>
          </w:p>
        </w:tc>
      </w:tr>
      <w:tr>
        <w:trPr>
          <w:trHeight w:val="204"/>
        </w:trPr>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pharmaceutical products.</w:t>
            </w:r>
          </w:p>
        </w:tc>
        <w:tc>
          <w:tcPr>
            <w:tcW w:w="0" w:type="dxa"/>
            <w:vAlign w:val="bottom"/>
          </w:tcPr>
          <w:p>
            <w:pPr>
              <w:spacing w:after="0"/>
              <w:rPr>
                <w:sz w:val="1"/>
                <w:szCs w:val="1"/>
                <w:color w:val="auto"/>
              </w:rPr>
            </w:pPr>
          </w:p>
        </w:tc>
      </w:tr>
      <w:tr>
        <w:trPr>
          <w:trHeight w:val="191"/>
        </w:trPr>
        <w:tc>
          <w:tcPr>
            <w:tcW w:w="1600" w:type="dxa"/>
            <w:vAlign w:val="bottom"/>
          </w:tcPr>
          <w:p>
            <w:pPr>
              <w:spacing w:after="0"/>
              <w:rPr>
                <w:sz w:val="20"/>
                <w:szCs w:val="20"/>
                <w:color w:val="auto"/>
              </w:rPr>
            </w:pPr>
            <w:r>
              <w:rPr>
                <w:rFonts w:ascii="Arial" w:cs="Arial" w:eastAsia="Arial" w:hAnsi="Arial"/>
                <w:sz w:val="16"/>
                <w:szCs w:val="16"/>
                <w:color w:val="auto"/>
              </w:rPr>
              <w:t>C.I. Procaps S.A.</w:t>
            </w:r>
          </w:p>
        </w:tc>
        <w:tc>
          <w:tcPr>
            <w:tcW w:w="1360" w:type="dxa"/>
            <w:vAlign w:val="bottom"/>
            <w:gridSpan w:val="3"/>
          </w:tcPr>
          <w:p>
            <w:pPr>
              <w:ind w:left="100"/>
              <w:spacing w:after="0"/>
              <w:rPr>
                <w:sz w:val="20"/>
                <w:szCs w:val="20"/>
                <w:color w:val="auto"/>
              </w:rPr>
            </w:pPr>
            <w:r>
              <w:rPr>
                <w:rFonts w:ascii="Arial" w:cs="Arial" w:eastAsia="Arial" w:hAnsi="Arial"/>
                <w:sz w:val="16"/>
                <w:szCs w:val="16"/>
                <w:color w:val="auto"/>
              </w:rPr>
              <w:t>Colombia</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100%</w:t>
            </w: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100%</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6"/>
                <w:szCs w:val="16"/>
                <w:color w:val="auto"/>
              </w:rPr>
            </w:pPr>
          </w:p>
        </w:tc>
        <w:tc>
          <w:tcPr>
            <w:tcW w:w="1040" w:type="dxa"/>
            <w:vAlign w:val="bottom"/>
            <w:gridSpan w:val="2"/>
          </w:tcPr>
          <w:p>
            <w:pPr>
              <w:ind w:left="60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3"/>
          </w:tcPr>
          <w:p>
            <w:pPr>
              <w:ind w:left="6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4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Procaps S.A. de C.V</w:t>
            </w:r>
          </w:p>
        </w:tc>
        <w:tc>
          <w:tcPr>
            <w:tcW w:w="1360" w:type="dxa"/>
            <w:vAlign w:val="bottom"/>
            <w:gridSpan w:val="3"/>
            <w:shd w:val="clear" w:color="auto" w:fill="CCEEFF"/>
          </w:tcPr>
          <w:p>
            <w:pPr>
              <w:ind w:left="100"/>
              <w:spacing w:after="0" w:line="179" w:lineRule="exact"/>
              <w:rPr>
                <w:sz w:val="20"/>
                <w:szCs w:val="20"/>
                <w:color w:val="auto"/>
              </w:rPr>
            </w:pPr>
            <w:r>
              <w:rPr>
                <w:rFonts w:ascii="Arial" w:cs="Arial" w:eastAsia="Arial" w:hAnsi="Arial"/>
                <w:sz w:val="16"/>
                <w:szCs w:val="16"/>
                <w:color w:val="auto"/>
              </w:rPr>
              <w:t>El Salvador</w:t>
            </w: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(previously</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Laboratorios Lopez</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100%</w:t>
            </w: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 de C.V.)</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00" w:type="dxa"/>
            <w:vAlign w:val="bottom"/>
          </w:tcPr>
          <w:p>
            <w:pPr>
              <w:spacing w:after="0"/>
              <w:rPr>
                <w:sz w:val="20"/>
                <w:szCs w:val="20"/>
                <w:color w:val="auto"/>
              </w:rPr>
            </w:pPr>
            <w:r>
              <w:rPr>
                <w:rFonts w:ascii="Arial" w:cs="Arial" w:eastAsia="Arial" w:hAnsi="Arial"/>
                <w:sz w:val="16"/>
                <w:szCs w:val="16"/>
                <w:color w:val="auto"/>
              </w:rPr>
              <w:t>Softcaps - Colbras</w:t>
            </w:r>
          </w:p>
        </w:tc>
        <w:tc>
          <w:tcPr>
            <w:tcW w:w="1360" w:type="dxa"/>
            <w:vAlign w:val="bottom"/>
            <w:gridSpan w:val="3"/>
          </w:tcPr>
          <w:p>
            <w:pPr>
              <w:ind w:left="100"/>
              <w:spacing w:after="0"/>
              <w:rPr>
                <w:sz w:val="20"/>
                <w:szCs w:val="20"/>
                <w:color w:val="auto"/>
              </w:rPr>
            </w:pPr>
            <w:r>
              <w:rPr>
                <w:rFonts w:ascii="Arial" w:cs="Arial" w:eastAsia="Arial" w:hAnsi="Arial"/>
                <w:sz w:val="16"/>
                <w:szCs w:val="16"/>
                <w:color w:val="auto"/>
              </w:rPr>
              <w:t>Brazil</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100%</w:t>
            </w: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100%</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6"/>
                <w:szCs w:val="16"/>
                <w:color w:val="auto"/>
              </w:rPr>
            </w:pPr>
          </w:p>
        </w:tc>
        <w:tc>
          <w:tcPr>
            <w:tcW w:w="1040" w:type="dxa"/>
            <w:vAlign w:val="bottom"/>
            <w:gridSpan w:val="2"/>
          </w:tcPr>
          <w:p>
            <w:pPr>
              <w:ind w:left="60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3"/>
          </w:tcPr>
          <w:p>
            <w:pPr>
              <w:ind w:left="6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4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Diabetrics Healthcare</w:t>
            </w:r>
          </w:p>
        </w:tc>
        <w:tc>
          <w:tcPr>
            <w:tcW w:w="1360" w:type="dxa"/>
            <w:vAlign w:val="bottom"/>
            <w:gridSpan w:val="3"/>
            <w:shd w:val="clear" w:color="auto" w:fill="CCEEFF"/>
          </w:tcPr>
          <w:p>
            <w:pPr>
              <w:ind w:left="100"/>
              <w:spacing w:after="0" w:line="179" w:lineRule="exact"/>
              <w:rPr>
                <w:sz w:val="20"/>
                <w:szCs w:val="20"/>
                <w:color w:val="auto"/>
              </w:rPr>
            </w:pPr>
            <w:r>
              <w:rPr>
                <w:rFonts w:ascii="Arial" w:cs="Arial" w:eastAsia="Arial" w:hAnsi="Arial"/>
                <w:sz w:val="16"/>
                <w:szCs w:val="16"/>
                <w:color w:val="auto"/>
              </w:rPr>
              <w:t>Colombia</w:t>
            </w: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100%</w:t>
            </w: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Diabetes solutions and chronic</w:t>
            </w:r>
          </w:p>
        </w:tc>
        <w:tc>
          <w:tcPr>
            <w:tcW w:w="0" w:type="dxa"/>
            <w:vAlign w:val="bottom"/>
          </w:tcPr>
          <w:p>
            <w:pPr>
              <w:spacing w:after="0"/>
              <w:rPr>
                <w:sz w:val="1"/>
                <w:szCs w:val="1"/>
                <w:color w:val="auto"/>
              </w:rPr>
            </w:pPr>
          </w:p>
        </w:tc>
      </w:tr>
      <w:tr>
        <w:trPr>
          <w:trHeight w:val="204"/>
        </w:trPr>
        <w:tc>
          <w:tcPr>
            <w:tcW w:w="1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disease management tool.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-1342390</wp:posOffset>
            </wp:positionV>
            <wp:extent cx="1456690" cy="3721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1456690" cy="37211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-848995</wp:posOffset>
            </wp:positionV>
            <wp:extent cx="1456690" cy="4857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1456690" cy="48577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There are no significant restrictions on the ability of the Group to access or use assets and settle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Reverse reorganization</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Crynssen Pharma Group Limited (“OpCo”) is a private limited liability company registered under the laws of Malta with company registration number C59671 and with registered office at Ground Floor, Palace Court, Church Street, St. Julians STJ 3049. Union Acquisition Corp. II is a Cayman Islands company previously listed on the NASDAQ under “LATNU”. Union, a publicly-traded special purpose acquisition company (“SPAC”), had limited operations but was established as a public investment vehicle with the purpose of making an investment in an operating company, particularly in Latin America.</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On March 31, 2021, SPAC, OpCo, Procaps Group, S.A. (“Holdco”) and OZLEM Limited, an exempted company incorporated under the laws of the Cayman Islands (“Merger Sub”) entered into a Business Combination Agreement (the “Business Combination Agreement” or “BCA” or the “Transaction”).</w:t>
      </w:r>
    </w:p>
    <w:p>
      <w:pPr>
        <w:spacing w:after="0" w:line="152"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With the execution of the BCA, SPAC also entered into separate Subscription Agreements, each dated March 31, 2021, with certain investors (collectively, the “PIPE Investors”), pursuant to, and on the terms and subject to the conditions of which, the PIPE Investors collectively subscribed for an aggregate of 10,000,000 ordinary shares of SPAC, par value $0.0001 per share (“SPAC Ordinary Shares”) for a purchase price of $10.00 per SPAC Ordinary Share and an aggregate purchase price of $100,000,000 (the “PIPE Investment”). The PIPE Investment were consummated, and the SPAC Ordinary Shares subscribed for by the PIPE Investors were exchanged for ordinary shares of Holdco, nominal value $0.01 per share (“Holdco Ordinary Shares”), concurrently with the closing of the Transaction.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 Transaction was approved at an Extraordinary General Meeting of LATNU’s shareholders on September 22, 2021 and subsequently consummated on September 29, 2021.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Summary of significant steps to implement the reverse reorganization:</w:t>
      </w:r>
    </w:p>
    <w:p>
      <w:pPr>
        <w:spacing w:after="0" w:line="198" w:lineRule="exact"/>
        <w:rPr>
          <w:sz w:val="20"/>
          <w:szCs w:val="20"/>
          <w:color w:val="auto"/>
        </w:rPr>
      </w:pPr>
    </w:p>
    <w:p>
      <w:pPr>
        <w:jc w:val="both"/>
        <w:ind w:left="560" w:hanging="278"/>
        <w:spacing w:after="0" w:line="262" w:lineRule="auto"/>
        <w:tabs>
          <w:tab w:leader="none" w:pos="5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OpCo formed Holdco, a public limited liability company (société anonyme) governed by the laws of the Grand Duchy of Luxembourg, which issued redeemable A shares of Holdco (the “Holdco Redeemable A Shares”) to OpCo. Holdco then formed Merger Sub, an exempted company incorporated under the laws of the Cayman Islands.</w:t>
      </w:r>
    </w:p>
    <w:p>
      <w:pPr>
        <w:spacing w:after="0" w:line="162" w:lineRule="exact"/>
        <w:rPr>
          <w:rFonts w:ascii="Arial" w:cs="Arial" w:eastAsia="Arial" w:hAnsi="Arial"/>
          <w:sz w:val="16"/>
          <w:szCs w:val="16"/>
          <w:color w:val="auto"/>
        </w:rPr>
      </w:pPr>
    </w:p>
    <w:p>
      <w:pPr>
        <w:jc w:val="both"/>
        <w:ind w:left="560" w:right="20" w:hanging="278"/>
        <w:spacing w:after="0" w:line="258" w:lineRule="auto"/>
        <w:tabs>
          <w:tab w:leader="none" w:pos="5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Merger Sub merged with and into the SPAC, with SPAC surviving such merger and becoming a direct wholly-owned subsidiary of Holdco (the “Merger”) and, in the context of the Merger, (a) all SPAC Ordinary Shares outstanding were exchanged with Holdco for the right to receive Holdco Ordinary Shares pursuant to a share capital increase of Holdco and (b) the issued and outstanding SPAC warrants that became warrants of Holdco exercisable for Holdco Ordinary Shares, on substantially the same terms as the SPAC warrants.</w:t>
      </w:r>
    </w:p>
    <w:p>
      <w:pPr>
        <w:spacing w:after="0" w:line="164" w:lineRule="exact"/>
        <w:rPr>
          <w:rFonts w:ascii="Arial" w:cs="Arial" w:eastAsia="Arial" w:hAnsi="Arial"/>
          <w:sz w:val="16"/>
          <w:szCs w:val="16"/>
          <w:color w:val="auto"/>
        </w:rPr>
      </w:pPr>
    </w:p>
    <w:p>
      <w:pPr>
        <w:jc w:val="both"/>
        <w:ind w:left="560" w:right="20" w:hanging="278"/>
        <w:spacing w:after="0" w:line="272" w:lineRule="auto"/>
        <w:tabs>
          <w:tab w:leader="none" w:pos="5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Immediately following consummation of the Merger and pursuant to those certain individual Contribution and Exchange Agreements, each dated as of March 31, 2021, each of the shareholders of OpCo, immediately prior to the consummation of the Transaction (the “Opco Shareholders”), had contributed their respective ordinary shares of OpCo, nominal value $1.00 per share (the “OpCo Ordinary Shares”) to Holdco in exchange for Holdco Ordinary Shares, and in the case of the International Finance Corporation (“IFC”), for Holdco Ordinary Shares and 4.5 million redeemable B shares of Holdco, nominal value $0.01 per share (the “Holdco Redeemable B Shares”) which were subscribed for by each OpCo Shareholder (such contributions and exchanges of OpCo Ordinary Shares for Holdco Ordinary Shares and, in the case of IFC, Holdco Ordinary Shares and Holdco Redeemable B Shares, collectively, the “Exchange”). The Exchange transaction was termed as a common control transaction due to the fact both OpCo and Holdco are ultimately controlled by the same party or parties, that are all controlled by the Minski family, both before and after the transaction, and that control is not transitory.</w:t>
      </w:r>
    </w:p>
    <w:p>
      <w:pPr>
        <w:spacing w:after="0" w:line="156" w:lineRule="exact"/>
        <w:rPr>
          <w:rFonts w:ascii="Arial" w:cs="Arial" w:eastAsia="Arial" w:hAnsi="Arial"/>
          <w:sz w:val="15"/>
          <w:szCs w:val="15"/>
          <w:color w:val="auto"/>
        </w:rPr>
      </w:pPr>
    </w:p>
    <w:p>
      <w:pPr>
        <w:ind w:left="560" w:hanging="278"/>
        <w:spacing w:after="0"/>
        <w:tabs>
          <w:tab w:leader="none" w:pos="5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Immediately following the consummation of the Merger but prior to the Exchange, Holdco redeemed all Holdco Redeemable A Shares held by OpCo.</w:t>
      </w:r>
    </w:p>
    <w:p>
      <w:pPr>
        <w:spacing w:after="0" w:line="198"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Immediately following the Exchange, Holdco redeemed 4.5 million Holdco Redeemable B Shares for a total purchase price of $45 million in accordance with that certain Share Redemption Agreement entered into by and between Holdco and IFC on March 31, 2021.</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On the effectiveness of the Transaction, September 29, 2021, the put option agreements were terminated in exchange for new equity instruments in Procaps Group SA.</w:t>
      </w:r>
    </w:p>
    <w:p>
      <w:pPr>
        <w:spacing w:after="0" w:line="22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a result of the Exchange and following the consummation of the Transaction, OpCo and SPAC had become a direct wholly-owned subsidiaries of Holdco and the OpCo shareholders and SPAC shareholders became holders of issued and outstanding Holdco Ordinary Shares: Procaps Group S.A.</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Emerging Growth Company Status</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Upon execution of the public equity offering, Holdco (the “Company”) is an emerging growth company, as defined in the Jumpstart Our Business Startups Act of 2012 (the “JOBS Act”). The Company will remain an emerging growth company until the earliest of:</w:t>
      </w:r>
    </w:p>
    <w:p>
      <w:pPr>
        <w:spacing w:after="0" w:line="152" w:lineRule="exact"/>
        <w:rPr>
          <w:sz w:val="20"/>
          <w:szCs w:val="20"/>
          <w:color w:val="auto"/>
        </w:rPr>
      </w:pPr>
    </w:p>
    <w:p>
      <w:pPr>
        <w:jc w:val="both"/>
        <w:ind w:left="560" w:right="20" w:hanging="278"/>
        <w:spacing w:after="0" w:line="272" w:lineRule="auto"/>
        <w:tabs>
          <w:tab w:leader="none" w:pos="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last day of the first fiscal year (a) following the fifth anniversary of a public equity offering, (b) in which its annual gross revenue totals at least $1.07 billion or (c) when the Company is deemed to be a large accelerated filer, which means the market value of the Company’s ordinary shares held by non-affiliates exceeds $700.0 million as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and</w:t>
      </w:r>
    </w:p>
    <w:p>
      <w:pPr>
        <w:spacing w:after="0" w:line="44" w:lineRule="exact"/>
        <w:rPr>
          <w:rFonts w:ascii="Arial" w:cs="Arial" w:eastAsia="Arial" w:hAnsi="Arial"/>
          <w:sz w:val="16"/>
          <w:szCs w:val="16"/>
          <w:color w:val="auto"/>
        </w:rPr>
      </w:pPr>
    </w:p>
    <w:p>
      <w:pPr>
        <w:ind w:left="560" w:hanging="278"/>
        <w:spacing w:after="0"/>
        <w:tabs>
          <w:tab w:leader="none" w:pos="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date on which the Company has issued more than $1.0 billion in non-convertible debt securities during the prior three-year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The consolidated financial statements of the Company for the years ended December 31, 2021, 2020 and 2019 comprise the Group and its interest in joint ventures, investments and operations. The Group prepares and publishes its consolidated financial statements in United States Dollars (“USD”), and the numbers are rounded to the thousands of USD unless otherwise stated. Foreign operations are included in accordance with the policies set out in Note 2.2. Functional and reporting currency.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were authorized for issue by the Group’s Audit Committee on April 27,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Basis of preparation and accounting</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consolidated financial statements of the Group as of December 31, 2021, 2020 and 2019 and have been prepared on a going concern basis in accordance with International Financial Reporting Standards (“IFRS”) as issued by the International Accounting Standard Board (“IASB”).</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consolidated financial statements consist of the consolidated statement of profit or loss and other comprehensive income, consolidated statement of financial position, consolidated statement of changes in equity and consolidated statement of cash flows and have been prepared under a historical cost basis, except for certain financial instruments that have been measured at fair value.</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Group opted to present a single consolidated statement of profit or loss and other comprehensive income, combining the presentation of profit or loss and comprehensive income in the same statement. Due to the activities of the Group, costs and expenses presented in the consolidated statement of profit or loss and other comprehensive income were classified according to their function.</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consolidated statement of financial position has been prepared based on the nature of the Group’s operations, distinguishing: (a) current assets from non-current assets, where current assets are intended as the assets that should be realized, sold or used during the normal operating cycle, or the assets owned with the aim of being sold in the short term (within 12 months); (b) current liabilities from non-current liabilities, where current liabilities are intended as the liabilities that should be paid during the normal operating cycle, or over the 12-month period subsequent to the reporting date.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 of cash flows has been prepared using the indirect method.</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consolidated financial statements present comparative information in respect to the previous periods, 2020 and 2019 for Consolidated Statement of Profit or Loss and Other Comprehensive Income, Consolidated Statement of Changes in Equity and Consolidated Statement of Cash Flows and related notes. Foreign operations are included in accordance with the policies set out in Note 2.2. Functional and reporting currency.</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accounting policies set out in Note 3. Summary of significant accounting policies have been applied in preparing the consolidated financial statements for the year ended December 31, 2021, and the comparative information presented for the years ended December 31, 2020 and 2019.</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 has applied accounting judgments, estimates and significant accounting assumptions described in Note 4. Critical accounting judgements and key sources of estimation uncertainty in preparing the consolidated financial statements.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2.1. Going concern</w:t>
      </w:r>
    </w:p>
    <w:p>
      <w:pPr>
        <w:spacing w:after="0" w:line="20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Management has, at the time of approving the accompanying consolidated financial statements, a reasonable expectation that the Group has adequate resources to continue in operational existence for the foreseeable future. Thereby these consolidated financial statements have been prepared on a ‘going concern’ basis.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December 31, 2020, Management had identified certain conditions and events that considered in the aggregate, rose a substantial doubt about the Group’s ability to continue as a going concern. However, such consolidated financial statements had been prepared on a going concern basis, which contemplated the realization of assets and satisfaction of liabilities that could have been necessary if the Group were unable to continue as a going concern.</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December 31, 2021, the following matters have been considered by management in determining the reasonable expectation that the Group has adequate resources to continue in operational existence for the foreseeable future.</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of December 31, 2021, the Group retains a negative equity position of $38,340 while it improved significantly compared to prior periods (2020: negative equity of $254,678, 2019: negative equity $243,947). This improvement is related to the effects of the reverse reorganization following the de-SPAC with Union Acquisition Corp II on September 29, 2021. This resulted in a net ‘capital contribution’ through the net assets obtained from the SPAC and the termination of the put option with IFC and Hoche for which the financial liability was reclassified back into equity in consideration for ordinary shares in Holdco. The negative equity balance as of December 31, 2021 is primarily driven by the classification of the Holdco Ordinary Shares held in escrow as a financial liability and does not impact the Group’s future operations and there are no further obligations to the Group.</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For the year ended December 31, 2021, the Group incurred a loss of $100,863 (2020: $10,447, 2019: $17,013). The Group generated $37,303 of cash in operating activities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(2020: $70,920, 2019: $68,286) after changes in working capital.</w:t>
      </w:r>
    </w:p>
    <w:p>
      <w:pPr>
        <w:spacing w:after="0" w:line="18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As of December 31, 2021, the Group reported positive working capital of $110,095 compared to a deficit of $54,926 and 76,028 for fiscal years 2020 and 2019, respectively. The positive working capital was mainly due to the increase in units sold in the principal business lines at an average of 24%, and improvement in the collection of the portfolio, due to post-Covid recovery and current debt re-profiling activities.</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Transaction has brought an inflow of cash to the operation. The Group received $160,049 which was mainly used for the redemption of the Redeemable B Shares from IFC, capital expenditures and settlement of obligations with certain suppliers.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December 31, 2021, the Group had cash of $72,112 (2020: $4,229, 2019: $2,042). Currently, the Group maintains financing lines, which, together with the expected internal generation of funds, will allow it to finance its growth and working capital needs. Furthermore, the Group substantially improved its funding conditions through the subscription of new Senior Notes for $115 million. This transaction will result in a significant reduction in interest rate payable from 9% average to 4.75%, allowing the Group to early repay $102 million of previous facilities and the Senior Notes will not start to amortize before 2027.</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Management has evaluated its capital position and its ability to continue its normal course of business for the foreseeable future and ability to meet its financial obligations for the next twelve months. The Group project it will generate excess cash over its current financial obligations through its current cash position and operating cash generated. The excess cash will be available to meet the Group’s investment and capital expenditure objectives.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2.2. Functional and reporting currency</w:t>
      </w:r>
    </w:p>
    <w:p>
      <w:pPr>
        <w:spacing w:after="0" w:line="202"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Items included in the financial statements of each of the group’s entities are measured using the currency of the primary economic environment in which the entity operates (‘the functional currency’). The consolidated financial statements are presented in US Dollars (USD), which is Procaps Group S.A. functional and presentation currency.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2.3. Basis of 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The subsidiaries are fully consolidated from the date on which control is transferred to the Company. Consolidation ceases from the date on which control ends.</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All financial results are consolidated with similar items on a line-by-line basis. If necessary, adjustments are made to the financial statements of the consolidated companies in order to adapt their accounting policies to those used by the Group.</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All transactions, balances, revenues and related expenses between the consolidated companies are eliminated.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2.3.1. Reverse reorganization</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Management has evaluated all the indicators of control from IFRS 10 and IFRS 3. Although there is a higher level of judgement when it comes to the analysis of the conditions set forth in IFRS 3, the indicators of relative voting rights, composition of governing body, composition of senior management, terms of exchange, relative size, and other factors favored OpCo as the accounting acquirer. Therefore, the SPAC is considered to be the accounting acquiree.</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However, SPAC does not meet the definition of a business under IFRS 3 because it lacks substantive processes as defined by IFRS 3. Thus, the transaction is not accounted for as a business combination but an asset acquisition transaction within the scope of IFRS 2 as a share-based payment transaction. As a result, the difference in the fair value of the shares deemed to have been issued by the accounting acquirer (OpCo) and the fair value of the accounting acquiree’s (SPAC’s) identifiable net assets represents a service received by the accounting acquirer. That difference is recognized as an expense on the date of the transaction close as the services have been deemed rendered at that point in time. See Note 10. Other expenses, net.</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the Transaction, the accounting acquiree (legal acquirer), becomes the ultimate parent holding company of the Group, however, the consolidated financial statement represents a continuation of Procaps Group S.A., the accounting acquirer (legal acquiree) with the exception of the legal capital structure.</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mentioned in Note 1. General Company Information, the Transaction can be termed a common control transaction. Management concluded that it would be appropriate to account for it as a restructuring using book value accounting in Holdco’s consolidated financial statements, on the basis that there has been no business combination between Opco and Holdco.</w:t>
      </w:r>
    </w:p>
    <w:p>
      <w:pPr>
        <w:spacing w:after="0" w:line="162"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Shareholders’ equity of the Group prior to the Transaction is retrospectively adjusted as a capital restructuring for the equivalent number of shares received and on a pro rata basis for prior reporting periods, for purposes of calculating earnings per share. Retained earnings and relevant reserves of the Group are carried forward after the Transaction. Any difference to shareholders’ equity of Group arising from the restructuring of share capital and equity instruments issued is recorded in equity under share premium.</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Refer to Note 26. Acquisitions for further information related to the accounting and presentation of the Transaction.</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For purposes of calculating basic earnings per share the ordinary shares associated with Put Option Agreements previous to the transaction were included. Note 24. Earnings Per Share.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2.4. Restatement of Previously Issued Financial Statements</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Subsequent to the issuance of the Group’s 2020 financial statements and during the process of preparing the Group’s Form 20-F, the Group revisited the classification of factoring and reverse factoring arrangements previously classified as part of Trade and other payables. As a result, management has identified the following errors that were concluded to be material to the previously issued financial statements.</w:t>
      </w:r>
    </w:p>
    <w:p>
      <w:pPr>
        <w:spacing w:after="0" w:line="162" w:lineRule="exact"/>
        <w:rPr>
          <w:sz w:val="20"/>
          <w:szCs w:val="20"/>
          <w:color w:val="auto"/>
        </w:rPr>
      </w:pPr>
    </w:p>
    <w:p>
      <w:pPr>
        <w:jc w:val="both"/>
        <w:ind w:left="560" w:right="20" w:hanging="278"/>
        <w:spacing w:after="0" w:line="258" w:lineRule="auto"/>
        <w:tabs>
          <w:tab w:leader="none" w:pos="5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Group’s factoring arrangements with recourse are treated as ’secured borrowing’ transactions since the Group has not transferred substantially all risks and rewards. A secured borrowing transaction is to be classified together with other borrowings. Previously, the Group classified certain factoring arrangements as Trade and other payables. Upon reassessing the facts and circumstances, the Group concluded that these should be reclassified to Borrowings (current). Based on this analysis of the factoring arrangements, the Group identified the following errors:</w:t>
      </w:r>
    </w:p>
    <w:p>
      <w:pPr>
        <w:spacing w:after="0" w:line="164" w:lineRule="exact"/>
        <w:rPr>
          <w:rFonts w:ascii="Arial" w:cs="Arial" w:eastAsia="Arial" w:hAnsi="Arial"/>
          <w:sz w:val="16"/>
          <w:szCs w:val="16"/>
          <w:color w:val="auto"/>
        </w:rPr>
      </w:pPr>
    </w:p>
    <w:p>
      <w:pPr>
        <w:ind w:left="1140" w:right="20" w:hanging="287"/>
        <w:spacing w:after="0" w:line="257" w:lineRule="auto"/>
        <w:rPr>
          <w:rFonts w:ascii="Arial" w:cs="Arial" w:eastAsia="Arial" w:hAnsi="Arial"/>
          <w:sz w:val="16"/>
          <w:szCs w:val="16"/>
          <w:color w:val="auto"/>
        </w:rPr>
      </w:pPr>
      <w:r>
        <w:rPr>
          <w:rFonts w:ascii="Arial" w:cs="Arial" w:eastAsia="Arial" w:hAnsi="Arial"/>
          <w:sz w:val="16"/>
          <w:szCs w:val="16"/>
          <w:color w:val="auto"/>
        </w:rPr>
        <w:t>– As of December 31 and January 1, 2020, and June 30, 2021, the Group decreased Trade and other payables, net and increased Borrowings (current) by $1,919, $1,517, and $3,808 (unaudited), respectively.</w:t>
      </w:r>
    </w:p>
    <w:p>
      <w:pPr>
        <w:spacing w:after="0" w:line="1" w:lineRule="exact"/>
        <w:rPr>
          <w:rFonts w:ascii="Arial" w:cs="Arial" w:eastAsia="Arial" w:hAnsi="Arial"/>
          <w:sz w:val="16"/>
          <w:szCs w:val="16"/>
          <w:color w:val="auto"/>
        </w:rPr>
      </w:pPr>
    </w:p>
    <w:p>
      <w:pPr>
        <w:ind w:left="1140" w:hanging="287"/>
        <w:spacing w:after="0" w:line="249" w:lineRule="auto"/>
        <w:rPr>
          <w:rFonts w:ascii="Arial" w:cs="Arial" w:eastAsia="Arial" w:hAnsi="Arial"/>
          <w:sz w:val="16"/>
          <w:szCs w:val="16"/>
          <w:color w:val="auto"/>
        </w:rPr>
      </w:pPr>
      <w:r>
        <w:rPr>
          <w:rFonts w:ascii="Arial" w:cs="Arial" w:eastAsia="Arial" w:hAnsi="Arial"/>
          <w:sz w:val="16"/>
          <w:szCs w:val="16"/>
          <w:color w:val="auto"/>
        </w:rPr>
        <w:t>– For the twelve-month period ended December 31, 2020, the Group’s classification error of factoring arrangements from operating to financing cash flows amounted to $2,463. There was a net zero impact of the error of factoring arrangements in the cash flow statement for the twelve-month period ended December 31, 2019.</w:t>
      </w:r>
    </w:p>
    <w:p>
      <w:pPr>
        <w:ind w:left="1140" w:right="20" w:hanging="287"/>
        <w:spacing w:after="0" w:line="279" w:lineRule="auto"/>
        <w:rPr>
          <w:rFonts w:ascii="Arial" w:cs="Arial" w:eastAsia="Arial" w:hAnsi="Arial"/>
          <w:sz w:val="16"/>
          <w:szCs w:val="16"/>
          <w:color w:val="auto"/>
        </w:rPr>
      </w:pPr>
      <w:r>
        <w:rPr>
          <w:rFonts w:ascii="Arial" w:cs="Arial" w:eastAsia="Arial" w:hAnsi="Arial"/>
          <w:sz w:val="15"/>
          <w:szCs w:val="15"/>
          <w:color w:val="auto"/>
        </w:rPr>
        <w:t xml:space="preserve">– Unaudited - For the six-month period ended June 30, 2021, the Group’s classification error of factoring arrangements from operating to financing cash flows amounted to net $300 (unaudited) which consists of $596 thousand to </w:t>
      </w:r>
      <w:r>
        <w:rPr>
          <w:rFonts w:ascii="Arial" w:cs="Arial" w:eastAsia="Arial" w:hAnsi="Arial"/>
          <w:sz w:val="15"/>
          <w:szCs w:val="15"/>
          <w:i w:val="1"/>
          <w:iCs w:val="1"/>
          <w:color w:val="auto"/>
        </w:rPr>
        <w:t>Proceeds from borrowings</w:t>
      </w:r>
      <w:r>
        <w:rPr>
          <w:rFonts w:ascii="Arial" w:cs="Arial" w:eastAsia="Arial" w:hAnsi="Arial"/>
          <w:sz w:val="15"/>
          <w:szCs w:val="15"/>
          <w:color w:val="auto"/>
        </w:rPr>
        <w:t xml:space="preserve"> and $896 thousand to </w:t>
      </w:r>
      <w:r>
        <w:rPr>
          <w:rFonts w:ascii="Arial" w:cs="Arial" w:eastAsia="Arial" w:hAnsi="Arial"/>
          <w:sz w:val="15"/>
          <w:szCs w:val="15"/>
          <w:i w:val="1"/>
          <w:iCs w:val="1"/>
          <w:color w:val="auto"/>
        </w:rPr>
        <w:t>Payments on borrowings</w:t>
      </w:r>
      <w:r>
        <w:rPr>
          <w:rFonts w:ascii="Arial" w:cs="Arial" w:eastAsia="Arial" w:hAnsi="Arial"/>
          <w:sz w:val="15"/>
          <w:szCs w:val="15"/>
          <w:color w:val="auto"/>
        </w:rPr>
        <w:t>. There was no error in the classification of factoring arrangements in the cash flow statement for the six-month period ended June 30, 2020.</w:t>
      </w:r>
    </w:p>
    <w:p>
      <w:pPr>
        <w:spacing w:after="0" w:line="150" w:lineRule="exact"/>
        <w:rPr>
          <w:rFonts w:ascii="Arial" w:cs="Arial" w:eastAsia="Arial" w:hAnsi="Arial"/>
          <w:sz w:val="16"/>
          <w:szCs w:val="16"/>
          <w:color w:val="auto"/>
        </w:rPr>
      </w:pPr>
    </w:p>
    <w:p>
      <w:pPr>
        <w:jc w:val="both"/>
        <w:ind w:left="560" w:right="20" w:hanging="278"/>
        <w:spacing w:after="0" w:line="274" w:lineRule="auto"/>
        <w:tabs>
          <w:tab w:leader="none" w:pos="5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Group’s reverse factoring arrangements have both characteristics of operating and financing. Under IFRS 9 there is no explicit guidance as to when to classify a reverse factoring arrangement as operating or financing debt. The assessment involves judgment and careful consideration of all relevant facts and circumstances per arrangements. Previously, the Group classified all reverse factoring arrangements as Trade and other payables. Upon reassessing the facts and circumstances, the Group concluded that some reverse factoring arrangements are more akin to financing arrangements due to the fact the Group pays interest which it normally does not to suppliers. Therefore, the Group has reclassified such arrangements from Trade and other payables to Borrowings (current). Based on this analysis of the reverse factoring arrangements, the Group identified the following errors:</w:t>
      </w:r>
    </w:p>
    <w:p>
      <w:pPr>
        <w:spacing w:after="0" w:line="156" w:lineRule="exact"/>
        <w:rPr>
          <w:rFonts w:ascii="Arial" w:cs="Arial" w:eastAsia="Arial" w:hAnsi="Arial"/>
          <w:sz w:val="15"/>
          <w:szCs w:val="15"/>
          <w:color w:val="auto"/>
        </w:rPr>
      </w:pPr>
    </w:p>
    <w:p>
      <w:pPr>
        <w:ind w:left="1140" w:right="20" w:hanging="287"/>
        <w:spacing w:after="0" w:line="257" w:lineRule="auto"/>
        <w:rPr>
          <w:rFonts w:ascii="Arial" w:cs="Arial" w:eastAsia="Arial" w:hAnsi="Arial"/>
          <w:sz w:val="15"/>
          <w:szCs w:val="15"/>
          <w:color w:val="auto"/>
        </w:rPr>
      </w:pPr>
      <w:r>
        <w:rPr>
          <w:rFonts w:ascii="Arial" w:cs="Arial" w:eastAsia="Arial" w:hAnsi="Arial"/>
          <w:sz w:val="16"/>
          <w:szCs w:val="16"/>
          <w:color w:val="auto"/>
        </w:rPr>
        <w:t>– As of December 31 and January 1, 2020, and June 30, 2021, the Group decreased Trade and other payables, net and increased Borrowings (current) by $10,240, $8,301, and $13,671 (unaudited), respectively.</w:t>
      </w:r>
    </w:p>
    <w:p>
      <w:pPr>
        <w:spacing w:after="0" w:line="1" w:lineRule="exact"/>
        <w:rPr>
          <w:rFonts w:ascii="Arial" w:cs="Arial" w:eastAsia="Arial" w:hAnsi="Arial"/>
          <w:sz w:val="15"/>
          <w:szCs w:val="15"/>
          <w:color w:val="auto"/>
        </w:rPr>
      </w:pPr>
    </w:p>
    <w:p>
      <w:pPr>
        <w:ind w:left="1140" w:right="20" w:hanging="287"/>
        <w:spacing w:after="0" w:line="249" w:lineRule="auto"/>
        <w:rPr>
          <w:rFonts w:ascii="Arial" w:cs="Arial" w:eastAsia="Arial" w:hAnsi="Arial"/>
          <w:sz w:val="15"/>
          <w:szCs w:val="15"/>
          <w:color w:val="auto"/>
        </w:rPr>
      </w:pPr>
      <w:r>
        <w:rPr>
          <w:rFonts w:ascii="Arial" w:cs="Arial" w:eastAsia="Arial" w:hAnsi="Arial"/>
          <w:sz w:val="16"/>
          <w:szCs w:val="16"/>
          <w:color w:val="auto"/>
        </w:rPr>
        <w:t>– For the twelve-month period ended December 31 2020 and 2019, the Group’s classification error of reverse factoring arrangements that possess financing characteristics from operating to financing cash flows amounted to $17,481 and $20,526, respectively.</w:t>
      </w:r>
    </w:p>
    <w:p>
      <w:pPr>
        <w:ind w:left="1140" w:right="20" w:hanging="287"/>
        <w:spacing w:after="0" w:line="258" w:lineRule="auto"/>
        <w:rPr>
          <w:rFonts w:ascii="Arial" w:cs="Arial" w:eastAsia="Arial" w:hAnsi="Arial"/>
          <w:sz w:val="15"/>
          <w:szCs w:val="15"/>
          <w:color w:val="auto"/>
        </w:rPr>
      </w:pPr>
      <w:r>
        <w:rPr>
          <w:rFonts w:ascii="Arial" w:cs="Arial" w:eastAsia="Arial" w:hAnsi="Arial"/>
          <w:sz w:val="16"/>
          <w:szCs w:val="16"/>
          <w:color w:val="auto"/>
        </w:rPr>
        <w:t>– Unaudited - For the six-months period ended June 30, 2021 and 2020, the Group’s classification error of reverse factoring arrangements that possess financing characteristics from operating to financing cash flows amounted to $17,549 and $6,737, respectively.</w:t>
      </w:r>
    </w:p>
    <w:p>
      <w:pPr>
        <w:spacing w:after="0" w:line="16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These corrections discussed above, related to factoring and reverse factoring, have no effect on total current liabilities and are presented as “Restatement Adjustments” in the tables included below.</w:t>
      </w:r>
    </w:p>
    <w:p>
      <w:pPr>
        <w:spacing w:after="0" w:line="15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following tables reflect the impact of the errors and other reclassifications to the specific financial statements line items presented in the Group´s previously reported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 Effect of the restatement on annual financial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restated Statement of Financial Position for the historical periods presented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8"/>
                <w:szCs w:val="18"/>
                <w:color w:val="auto"/>
              </w:rPr>
            </w:pPr>
          </w:p>
        </w:tc>
        <w:tc>
          <w:tcPr>
            <w:tcW w:w="2860" w:type="dxa"/>
            <w:vAlign w:val="bottom"/>
            <w:tcBorders>
              <w:bottom w:val="single" w:sz="8" w:color="auto"/>
            </w:tcBorders>
            <w:gridSpan w:val="5"/>
          </w:tcPr>
          <w:p>
            <w:pPr>
              <w:jc w:val="center"/>
              <w:ind w:left="960"/>
              <w:spacing w:after="0"/>
              <w:rPr>
                <w:sz w:val="20"/>
                <w:szCs w:val="20"/>
                <w:color w:val="auto"/>
              </w:rPr>
            </w:pPr>
            <w:r>
              <w:rPr>
                <w:rFonts w:ascii="Arial" w:cs="Arial" w:eastAsia="Arial" w:hAnsi="Arial"/>
                <w:sz w:val="16"/>
                <w:szCs w:val="16"/>
                <w:b w:val="1"/>
                <w:bCs w:val="1"/>
                <w:color w:val="auto"/>
                <w:w w:val="88"/>
              </w:rPr>
              <w:t>As of December 31, 2020</w:t>
            </w:r>
          </w:p>
        </w:tc>
        <w:tc>
          <w:tcPr>
            <w:tcW w:w="104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0"/>
              </w:rPr>
              <w:t>As of January 1, 2020</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5"/>
        </w:trPr>
        <w:tc>
          <w:tcPr>
            <w:tcW w:w="3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center"/>
              <w:ind w:right="340"/>
              <w:spacing w:after="0" w:line="175" w:lineRule="exact"/>
              <w:rPr>
                <w:sz w:val="20"/>
                <w:szCs w:val="20"/>
                <w:color w:val="auto"/>
              </w:rPr>
            </w:pPr>
            <w:r>
              <w:rPr>
                <w:rFonts w:ascii="Arial" w:cs="Arial" w:eastAsia="Arial" w:hAnsi="Arial"/>
                <w:sz w:val="16"/>
                <w:szCs w:val="16"/>
                <w:b w:val="1"/>
                <w:bCs w:val="1"/>
                <w:color w:val="auto"/>
                <w:w w:val="89"/>
              </w:rPr>
              <w:t>Restatement</w:t>
            </w:r>
          </w:p>
        </w:tc>
        <w:tc>
          <w:tcPr>
            <w:tcW w:w="10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87"/>
              </w:rPr>
              <w:t>Restatement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3260" w:type="dxa"/>
            <w:vAlign w:val="bottom"/>
          </w:tcPr>
          <w:p>
            <w:pPr>
              <w:spacing w:after="0"/>
              <w:rPr>
                <w:sz w:val="20"/>
                <w:szCs w:val="20"/>
                <w:color w:val="auto"/>
              </w:rPr>
            </w:pPr>
            <w:r>
              <w:rPr>
                <w:rFonts w:ascii="Arial" w:cs="Arial" w:eastAsia="Arial" w:hAnsi="Arial"/>
                <w:sz w:val="16"/>
                <w:szCs w:val="16"/>
                <w:b w:val="1"/>
                <w:bCs w:val="1"/>
                <w:color w:val="auto"/>
              </w:rPr>
              <w:t>Balance Sheet, restated</w:t>
            </w:r>
          </w:p>
        </w:tc>
        <w:tc>
          <w:tcPr>
            <w:tcW w:w="13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As reported</w:t>
            </w:r>
          </w:p>
        </w:tc>
        <w:tc>
          <w:tcPr>
            <w:tcW w:w="14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Adjustments</w:t>
            </w:r>
          </w:p>
        </w:tc>
        <w:tc>
          <w:tcPr>
            <w:tcW w:w="11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As restated</w:t>
            </w:r>
          </w:p>
        </w:tc>
        <w:tc>
          <w:tcPr>
            <w:tcW w:w="100" w:type="dxa"/>
            <w:vAlign w:val="bottom"/>
          </w:tcPr>
          <w:p>
            <w:pPr>
              <w:spacing w:after="0"/>
              <w:rPr>
                <w:sz w:val="18"/>
                <w:szCs w:val="18"/>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As reported</w:t>
            </w: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As restated</w:t>
            </w:r>
          </w:p>
        </w:tc>
      </w:tr>
      <w:tr>
        <w:trPr>
          <w:trHeight w:val="191"/>
        </w:trPr>
        <w:tc>
          <w:tcPr>
            <w:tcW w:w="32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102,621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12,159</w:t>
            </w:r>
          </w:p>
        </w:tc>
        <w:tc>
          <w:tcPr>
            <w:tcW w:w="10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114,780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90,157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9,818</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99,975</w:t>
            </w:r>
          </w:p>
        </w:tc>
      </w:tr>
      <w:tr>
        <w:trPr>
          <w:trHeight w:val="191"/>
        </w:trPr>
        <w:tc>
          <w:tcPr>
            <w:tcW w:w="3260" w:type="dxa"/>
            <w:vAlign w:val="bottom"/>
          </w:tcPr>
          <w:p>
            <w:pPr>
              <w:spacing w:after="0"/>
              <w:rPr>
                <w:sz w:val="20"/>
                <w:szCs w:val="20"/>
                <w:color w:val="auto"/>
              </w:rPr>
            </w:pPr>
            <w:r>
              <w:rPr>
                <w:rFonts w:ascii="Arial" w:cs="Arial" w:eastAsia="Arial" w:hAnsi="Arial"/>
                <w:sz w:val="16"/>
                <w:szCs w:val="16"/>
                <w:color w:val="auto"/>
              </w:rPr>
              <w:t>Trade and other payables, net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106,275</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(12,159)</w:t>
            </w:r>
          </w:p>
        </w:tc>
        <w:tc>
          <w:tcPr>
            <w:tcW w:w="10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94,116</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114,426</w:t>
            </w:r>
          </w:p>
        </w:tc>
        <w:tc>
          <w:tcPr>
            <w:tcW w:w="1540" w:type="dxa"/>
            <w:vAlign w:val="bottom"/>
            <w:gridSpan w:val="3"/>
          </w:tcPr>
          <w:p>
            <w:pPr>
              <w:jc w:val="right"/>
              <w:ind w:right="160"/>
              <w:spacing w:after="0"/>
              <w:rPr>
                <w:sz w:val="20"/>
                <w:szCs w:val="20"/>
                <w:color w:val="auto"/>
              </w:rPr>
            </w:pPr>
            <w:r>
              <w:rPr>
                <w:rFonts w:ascii="Arial" w:cs="Arial" w:eastAsia="Arial" w:hAnsi="Arial"/>
                <w:sz w:val="16"/>
                <w:szCs w:val="16"/>
                <w:color w:val="auto"/>
              </w:rPr>
              <w:t>(9,818)</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104,608</w:t>
            </w:r>
          </w:p>
        </w:tc>
      </w:tr>
    </w:tbl>
    <w:p>
      <w:pPr>
        <w:spacing w:after="0" w:line="17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addition to correcting the Statement of Financial Position and Consolidated Statement of Cash Flow, certain information within the following notes to the Consolidated Financial Statements have been restated to reflect the correction of misstatements discussed above:</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Note 19. Borrowings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Note 21. Trade and other payables, net</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Note 27. Financial instruments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38" w:name="page139"/>
    <w:bookmarkEnd w:id="138"/>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7620" w:type="dxa"/>
            <w:vAlign w:val="bottom"/>
            <w:gridSpan w:val="11"/>
          </w:tcPr>
          <w:p>
            <w:pPr>
              <w:spacing w:after="0"/>
              <w:rPr>
                <w:sz w:val="20"/>
                <w:szCs w:val="20"/>
                <w:color w:val="auto"/>
              </w:rPr>
            </w:pPr>
            <w:r>
              <w:rPr>
                <w:rFonts w:ascii="Arial" w:cs="Arial" w:eastAsia="Arial" w:hAnsi="Arial"/>
                <w:sz w:val="16"/>
                <w:szCs w:val="16"/>
                <w:color w:val="auto"/>
                <w:w w:val="90"/>
              </w:rPr>
              <w:t>The restatement of the Consolidated Statement of Cash Flow for the historical periods resulted in the following impact:</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w w:val="90"/>
              </w:rPr>
              <w:t>For the twelve month period ending</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0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89"/>
              </w:rPr>
              <w:t>For the twelve month period ending</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6"/>
                <w:szCs w:val="16"/>
                <w:b w:val="1"/>
                <w:bCs w:val="1"/>
                <w:color w:val="auto"/>
              </w:rPr>
              <w:t>December 31, 2020</w:t>
            </w:r>
          </w:p>
        </w:tc>
        <w:tc>
          <w:tcPr>
            <w:tcW w:w="10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6"/>
                <w:szCs w:val="16"/>
                <w:b w:val="1"/>
                <w:bCs w:val="1"/>
                <w:color w:val="auto"/>
              </w:rPr>
              <w:t>December 31, 2019</w:t>
            </w: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660"/>
              <w:spacing w:after="0" w:line="179" w:lineRule="exact"/>
              <w:rPr>
                <w:sz w:val="20"/>
                <w:szCs w:val="20"/>
                <w:color w:val="auto"/>
              </w:rPr>
            </w:pPr>
            <w:r>
              <w:rPr>
                <w:rFonts w:ascii="Arial" w:cs="Arial" w:eastAsia="Arial" w:hAnsi="Arial"/>
                <w:sz w:val="16"/>
                <w:szCs w:val="16"/>
                <w:b w:val="1"/>
                <w:bCs w:val="1"/>
                <w:color w:val="auto"/>
              </w:rPr>
              <w:t>As</w:t>
            </w:r>
          </w:p>
        </w:tc>
        <w:tc>
          <w:tcPr>
            <w:tcW w:w="1320" w:type="dxa"/>
            <w:vAlign w:val="bottom"/>
            <w:gridSpan w:val="2"/>
          </w:tcPr>
          <w:p>
            <w:pPr>
              <w:jc w:val="right"/>
              <w:ind w:right="300"/>
              <w:spacing w:after="0" w:line="179" w:lineRule="exact"/>
              <w:rPr>
                <w:sz w:val="20"/>
                <w:szCs w:val="20"/>
                <w:color w:val="auto"/>
              </w:rPr>
            </w:pPr>
            <w:r>
              <w:rPr>
                <w:rFonts w:ascii="Arial" w:cs="Arial" w:eastAsia="Arial" w:hAnsi="Arial"/>
                <w:sz w:val="16"/>
                <w:szCs w:val="16"/>
                <w:b w:val="1"/>
                <w:bCs w:val="1"/>
                <w:color w:val="auto"/>
                <w:w w:val="99"/>
              </w:rPr>
              <w:t>Restatement</w:t>
            </w:r>
          </w:p>
        </w:tc>
        <w:tc>
          <w:tcPr>
            <w:tcW w:w="1400" w:type="dxa"/>
            <w:vAlign w:val="bottom"/>
            <w:gridSpan w:val="2"/>
          </w:tcPr>
          <w:p>
            <w:pPr>
              <w:jc w:val="right"/>
              <w:ind w:right="600"/>
              <w:spacing w:after="0" w:line="179" w:lineRule="exact"/>
              <w:rPr>
                <w:sz w:val="20"/>
                <w:szCs w:val="20"/>
                <w:color w:val="auto"/>
              </w:rPr>
            </w:pPr>
            <w:r>
              <w:rPr>
                <w:rFonts w:ascii="Arial" w:cs="Arial" w:eastAsia="Arial" w:hAnsi="Arial"/>
                <w:sz w:val="16"/>
                <w:szCs w:val="16"/>
                <w:b w:val="1"/>
                <w:bCs w:val="1"/>
                <w:color w:val="auto"/>
              </w:rPr>
              <w:t>Other</w:t>
            </w:r>
          </w:p>
        </w:tc>
        <w:tc>
          <w:tcPr>
            <w:tcW w:w="1300" w:type="dxa"/>
            <w:vAlign w:val="bottom"/>
            <w:gridSpan w:val="2"/>
          </w:tcPr>
          <w:p>
            <w:pPr>
              <w:jc w:val="right"/>
              <w:ind w:right="600"/>
              <w:spacing w:after="0" w:line="179" w:lineRule="exact"/>
              <w:rPr>
                <w:sz w:val="20"/>
                <w:szCs w:val="20"/>
                <w:color w:val="auto"/>
              </w:rPr>
            </w:pPr>
            <w:r>
              <w:rPr>
                <w:rFonts w:ascii="Arial" w:cs="Arial" w:eastAsia="Arial" w:hAnsi="Arial"/>
                <w:sz w:val="16"/>
                <w:szCs w:val="16"/>
                <w:b w:val="1"/>
                <w:bCs w:val="1"/>
                <w:color w:val="auto"/>
              </w:rPr>
              <w:t>As</w:t>
            </w: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60"/>
              <w:spacing w:after="0" w:line="179" w:lineRule="exact"/>
              <w:rPr>
                <w:sz w:val="20"/>
                <w:szCs w:val="20"/>
                <w:color w:val="auto"/>
              </w:rPr>
            </w:pPr>
            <w:r>
              <w:rPr>
                <w:rFonts w:ascii="Arial" w:cs="Arial" w:eastAsia="Arial" w:hAnsi="Arial"/>
                <w:sz w:val="16"/>
                <w:szCs w:val="16"/>
                <w:b w:val="1"/>
                <w:bCs w:val="1"/>
                <w:color w:val="auto"/>
                <w:w w:val="99"/>
              </w:rPr>
              <w:t>Restatement</w:t>
            </w:r>
          </w:p>
        </w:tc>
        <w:tc>
          <w:tcPr>
            <w:tcW w:w="1420" w:type="dxa"/>
            <w:vAlign w:val="bottom"/>
            <w:gridSpan w:val="2"/>
          </w:tcPr>
          <w:p>
            <w:pPr>
              <w:jc w:val="right"/>
              <w:ind w:right="620"/>
              <w:spacing w:after="0" w:line="179" w:lineRule="exact"/>
              <w:rPr>
                <w:sz w:val="20"/>
                <w:szCs w:val="20"/>
                <w:color w:val="auto"/>
              </w:rPr>
            </w:pPr>
            <w:r>
              <w:rPr>
                <w:rFonts w:ascii="Arial" w:cs="Arial" w:eastAsia="Arial" w:hAnsi="Arial"/>
                <w:sz w:val="16"/>
                <w:szCs w:val="16"/>
                <w:b w:val="1"/>
                <w:bCs w:val="1"/>
                <w:color w:val="auto"/>
              </w:rPr>
              <w:t>Other</w:t>
            </w:r>
          </w:p>
        </w:tc>
        <w:tc>
          <w:tcPr>
            <w:tcW w:w="740" w:type="dxa"/>
            <w:vAlign w:val="bottom"/>
            <w:gridSpan w:val="2"/>
          </w:tcPr>
          <w:p>
            <w:pPr>
              <w:jc w:val="right"/>
              <w:ind w:right="280"/>
              <w:spacing w:after="0" w:line="179" w:lineRule="exact"/>
              <w:rPr>
                <w:sz w:val="20"/>
                <w:szCs w:val="20"/>
                <w:color w:val="auto"/>
              </w:rPr>
            </w:pPr>
            <w:r>
              <w:rPr>
                <w:rFonts w:ascii="Arial" w:cs="Arial" w:eastAsia="Arial" w:hAnsi="Arial"/>
                <w:sz w:val="16"/>
                <w:szCs w:val="16"/>
                <w:b w:val="1"/>
                <w:bCs w:val="1"/>
                <w:color w:val="auto"/>
              </w:rPr>
              <w:t>As</w:t>
            </w:r>
          </w:p>
        </w:tc>
        <w:tc>
          <w:tcPr>
            <w:tcW w:w="0" w:type="dxa"/>
            <w:vAlign w:val="bottom"/>
          </w:tcPr>
          <w:p>
            <w:pPr>
              <w:spacing w:after="0"/>
              <w:rPr>
                <w:sz w:val="1"/>
                <w:szCs w:val="1"/>
                <w:color w:val="auto"/>
              </w:rPr>
            </w:pPr>
          </w:p>
        </w:tc>
      </w:tr>
      <w:tr>
        <w:trPr>
          <w:trHeight w:val="243"/>
        </w:trPr>
        <w:tc>
          <w:tcPr>
            <w:tcW w:w="1200" w:type="dxa"/>
            <w:vAlign w:val="bottom"/>
            <w:vMerge w:val="restart"/>
          </w:tcPr>
          <w:p>
            <w:pPr>
              <w:spacing w:after="0"/>
              <w:rPr>
                <w:sz w:val="20"/>
                <w:szCs w:val="20"/>
                <w:color w:val="auto"/>
              </w:rPr>
            </w:pPr>
            <w:r>
              <w:rPr>
                <w:rFonts w:ascii="Arial" w:cs="Arial" w:eastAsia="Arial" w:hAnsi="Arial"/>
                <w:sz w:val="16"/>
                <w:szCs w:val="16"/>
                <w:b w:val="1"/>
                <w:bCs w:val="1"/>
                <w:color w:val="auto"/>
              </w:rPr>
              <w:t>Operating</w:t>
            </w:r>
          </w:p>
        </w:tc>
        <w:tc>
          <w:tcPr>
            <w:tcW w:w="180" w:type="dxa"/>
            <w:vAlign w:val="bottom"/>
          </w:tcPr>
          <w:p>
            <w:pPr>
              <w:spacing w:after="0"/>
              <w:rPr>
                <w:sz w:val="21"/>
                <w:szCs w:val="21"/>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5"/>
              </w:rPr>
              <w:t>reported</w:t>
            </w:r>
          </w:p>
        </w:tc>
        <w:tc>
          <w:tcPr>
            <w:tcW w:w="1320" w:type="dxa"/>
            <w:vAlign w:val="bottom"/>
            <w:gridSpan w:val="2"/>
          </w:tcPr>
          <w:p>
            <w:pPr>
              <w:jc w:val="right"/>
              <w:ind w:right="260"/>
              <w:spacing w:after="0" w:line="238" w:lineRule="exact"/>
              <w:rPr>
                <w:sz w:val="20"/>
                <w:szCs w:val="20"/>
                <w:color w:val="auto"/>
              </w:rPr>
            </w:pPr>
            <w:r>
              <w:rPr>
                <w:rFonts w:ascii="Arial" w:cs="Arial" w:eastAsia="Arial" w:hAnsi="Arial"/>
                <w:sz w:val="16"/>
                <w:szCs w:val="16"/>
                <w:b w:val="1"/>
                <w:bCs w:val="1"/>
                <w:color w:val="auto"/>
                <w:w w:val="93"/>
              </w:rPr>
              <w:t>Adjustments</w:t>
            </w:r>
            <w:r>
              <w:rPr>
                <w:rFonts w:ascii="Arial" w:cs="Arial" w:eastAsia="Arial" w:hAnsi="Arial"/>
                <w:sz w:val="26"/>
                <w:szCs w:val="26"/>
                <w:b w:val="1"/>
                <w:bCs w:val="1"/>
                <w:color w:val="auto"/>
                <w:w w:val="93"/>
                <w:vertAlign w:val="superscript"/>
              </w:rPr>
              <w:t>1</w:t>
            </w:r>
          </w:p>
        </w:tc>
        <w:tc>
          <w:tcPr>
            <w:tcW w:w="1400" w:type="dxa"/>
            <w:vAlign w:val="bottom"/>
            <w:gridSpan w:val="2"/>
          </w:tcPr>
          <w:p>
            <w:pPr>
              <w:jc w:val="right"/>
              <w:ind w:right="220"/>
              <w:spacing w:after="0" w:line="238" w:lineRule="exact"/>
              <w:rPr>
                <w:sz w:val="20"/>
                <w:szCs w:val="20"/>
                <w:color w:val="auto"/>
              </w:rPr>
            </w:pPr>
            <w:r>
              <w:rPr>
                <w:rFonts w:ascii="Arial" w:cs="Arial" w:eastAsia="Arial" w:hAnsi="Arial"/>
                <w:sz w:val="16"/>
                <w:szCs w:val="16"/>
                <w:b w:val="1"/>
                <w:bCs w:val="1"/>
                <w:color w:val="auto"/>
                <w:w w:val="82"/>
              </w:rPr>
              <w:t>Reclassifications</w:t>
            </w:r>
            <w:r>
              <w:rPr>
                <w:rFonts w:ascii="Arial" w:cs="Arial" w:eastAsia="Arial" w:hAnsi="Arial"/>
                <w:sz w:val="26"/>
                <w:szCs w:val="26"/>
                <w:b w:val="1"/>
                <w:bCs w:val="1"/>
                <w:color w:val="auto"/>
                <w:w w:val="82"/>
                <w:vertAlign w:val="superscript"/>
              </w:rPr>
              <w:t>2</w:t>
            </w:r>
          </w:p>
        </w:tc>
        <w:tc>
          <w:tcPr>
            <w:tcW w:w="13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restated</w:t>
            </w:r>
          </w:p>
        </w:tc>
        <w:tc>
          <w:tcPr>
            <w:tcW w:w="1140" w:type="dxa"/>
            <w:vAlign w:val="bottom"/>
          </w:tcPr>
          <w:p>
            <w:pPr>
              <w:jc w:val="right"/>
              <w:ind w:right="120"/>
              <w:spacing w:after="0"/>
              <w:rPr>
                <w:sz w:val="20"/>
                <w:szCs w:val="20"/>
                <w:color w:val="auto"/>
              </w:rPr>
            </w:pPr>
            <w:r>
              <w:rPr>
                <w:rFonts w:ascii="Arial" w:cs="Arial" w:eastAsia="Arial" w:hAnsi="Arial"/>
                <w:sz w:val="16"/>
                <w:szCs w:val="16"/>
                <w:b w:val="1"/>
                <w:bCs w:val="1"/>
                <w:color w:val="auto"/>
              </w:rPr>
              <w:t>As reported</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line="238" w:lineRule="exact"/>
              <w:rPr>
                <w:sz w:val="20"/>
                <w:szCs w:val="20"/>
                <w:color w:val="auto"/>
              </w:rPr>
            </w:pPr>
            <w:r>
              <w:rPr>
                <w:rFonts w:ascii="Arial" w:cs="Arial" w:eastAsia="Arial" w:hAnsi="Arial"/>
                <w:sz w:val="16"/>
                <w:szCs w:val="16"/>
                <w:b w:val="1"/>
                <w:bCs w:val="1"/>
                <w:color w:val="auto"/>
                <w:w w:val="93"/>
              </w:rPr>
              <w:t>Adjustments</w:t>
            </w:r>
            <w:r>
              <w:rPr>
                <w:rFonts w:ascii="Arial" w:cs="Arial" w:eastAsia="Arial" w:hAnsi="Arial"/>
                <w:sz w:val="26"/>
                <w:szCs w:val="26"/>
                <w:b w:val="1"/>
                <w:bCs w:val="1"/>
                <w:color w:val="auto"/>
                <w:w w:val="93"/>
                <w:vertAlign w:val="superscript"/>
              </w:rPr>
              <w:t>1</w:t>
            </w:r>
          </w:p>
        </w:tc>
        <w:tc>
          <w:tcPr>
            <w:tcW w:w="1420" w:type="dxa"/>
            <w:vAlign w:val="bottom"/>
            <w:gridSpan w:val="2"/>
          </w:tcPr>
          <w:p>
            <w:pPr>
              <w:jc w:val="right"/>
              <w:ind w:right="220"/>
              <w:spacing w:after="0" w:line="238" w:lineRule="exact"/>
              <w:rPr>
                <w:sz w:val="20"/>
                <w:szCs w:val="20"/>
                <w:color w:val="auto"/>
              </w:rPr>
            </w:pPr>
            <w:r>
              <w:rPr>
                <w:rFonts w:ascii="Arial" w:cs="Arial" w:eastAsia="Arial" w:hAnsi="Arial"/>
                <w:sz w:val="16"/>
                <w:szCs w:val="16"/>
                <w:b w:val="1"/>
                <w:bCs w:val="1"/>
                <w:color w:val="auto"/>
                <w:w w:val="84"/>
              </w:rPr>
              <w:t>Reclassifications</w:t>
            </w:r>
            <w:r>
              <w:rPr>
                <w:rFonts w:ascii="Arial" w:cs="Arial" w:eastAsia="Arial" w:hAnsi="Arial"/>
                <w:sz w:val="26"/>
                <w:szCs w:val="26"/>
                <w:b w:val="1"/>
                <w:bCs w:val="1"/>
                <w:color w:val="auto"/>
                <w:w w:val="84"/>
                <w:vertAlign w:val="superscript"/>
              </w:rPr>
              <w:t>2</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3"/>
              </w:rPr>
              <w:t>restated</w:t>
            </w:r>
          </w:p>
        </w:tc>
        <w:tc>
          <w:tcPr>
            <w:tcW w:w="0" w:type="dxa"/>
            <w:vAlign w:val="bottom"/>
          </w:tcPr>
          <w:p>
            <w:pPr>
              <w:spacing w:after="0"/>
              <w:rPr>
                <w:sz w:val="1"/>
                <w:szCs w:val="1"/>
                <w:color w:val="auto"/>
              </w:rPr>
            </w:pPr>
          </w:p>
        </w:tc>
      </w:tr>
      <w:tr>
        <w:trPr>
          <w:trHeight w:val="163"/>
        </w:trPr>
        <w:tc>
          <w:tcPr>
            <w:tcW w:w="1200" w:type="dxa"/>
            <w:vAlign w:val="bottom"/>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activities</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60" w:type="dxa"/>
            <w:vAlign w:val="bottom"/>
            <w:gridSpan w:val="4"/>
          </w:tcPr>
          <w:p>
            <w:pPr>
              <w:spacing w:after="0"/>
              <w:rPr>
                <w:sz w:val="20"/>
                <w:szCs w:val="20"/>
                <w:color w:val="auto"/>
              </w:rPr>
            </w:pPr>
            <w:r>
              <w:rPr>
                <w:rFonts w:ascii="Arial" w:cs="Arial" w:eastAsia="Arial" w:hAnsi="Arial"/>
                <w:sz w:val="16"/>
                <w:szCs w:val="16"/>
                <w:i w:val="1"/>
                <w:iCs w:val="1"/>
                <w:color w:val="auto"/>
              </w:rPr>
              <w:t>(Increase)/decrease in operating</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80" w:type="dxa"/>
            <w:vAlign w:val="bottom"/>
            <w:gridSpan w:val="2"/>
          </w:tcPr>
          <w:p>
            <w:pPr>
              <w:spacing w:after="0"/>
              <w:rPr>
                <w:sz w:val="20"/>
                <w:szCs w:val="20"/>
                <w:color w:val="auto"/>
              </w:rPr>
            </w:pPr>
            <w:r>
              <w:rPr>
                <w:rFonts w:ascii="Arial" w:cs="Arial" w:eastAsia="Arial" w:hAnsi="Arial"/>
                <w:sz w:val="16"/>
                <w:szCs w:val="16"/>
                <w:i w:val="1"/>
                <w:iCs w:val="1"/>
                <w:color w:val="auto"/>
                <w:w w:val="92"/>
              </w:rPr>
              <w:t>assets and liabilities: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380" w:type="dxa"/>
            <w:vAlign w:val="bottom"/>
            <w:gridSpan w:val="2"/>
            <w:shd w:val="clear" w:color="auto" w:fill="CCEEFF"/>
          </w:tcPr>
          <w:p>
            <w:pPr>
              <w:ind w:left="140"/>
              <w:spacing w:after="0" w:line="179" w:lineRule="exact"/>
              <w:rPr>
                <w:sz w:val="20"/>
                <w:szCs w:val="20"/>
                <w:color w:val="auto"/>
              </w:rPr>
            </w:pPr>
            <w:r>
              <w:rPr>
                <w:rFonts w:ascii="Arial" w:cs="Arial" w:eastAsia="Arial" w:hAnsi="Arial"/>
                <w:sz w:val="16"/>
                <w:szCs w:val="16"/>
                <w:color w:val="auto"/>
              </w:rPr>
              <w:t>Trade and</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payables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(8,149)</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19,944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11,795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12,116</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20,526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32,642</w:t>
            </w:r>
          </w:p>
        </w:tc>
        <w:tc>
          <w:tcPr>
            <w:tcW w:w="0" w:type="dxa"/>
            <w:vAlign w:val="bottom"/>
          </w:tcPr>
          <w:p>
            <w:pPr>
              <w:spacing w:after="0"/>
              <w:rPr>
                <w:sz w:val="1"/>
                <w:szCs w:val="1"/>
                <w:color w:val="auto"/>
              </w:rPr>
            </w:pPr>
          </w:p>
        </w:tc>
      </w:tr>
      <w:tr>
        <w:trPr>
          <w:trHeight w:val="179"/>
        </w:trPr>
        <w:tc>
          <w:tcPr>
            <w:tcW w:w="1200" w:type="dxa"/>
            <w:vAlign w:val="bottom"/>
            <w:tcBorders>
              <w:top w:val="single" w:sz="8" w:color="CCEEFF"/>
              <w:bottom w:val="single" w:sz="8" w:color="CCEEFF"/>
            </w:tcBorders>
          </w:tcPr>
          <w:p>
            <w:pPr>
              <w:ind w:left="140"/>
              <w:spacing w:after="0" w:line="175" w:lineRule="exact"/>
              <w:rPr>
                <w:sz w:val="20"/>
                <w:szCs w:val="20"/>
                <w:color w:val="auto"/>
              </w:rPr>
            </w:pPr>
            <w:r>
              <w:rPr>
                <w:rFonts w:ascii="Arial" w:cs="Arial" w:eastAsia="Arial" w:hAnsi="Arial"/>
                <w:sz w:val="16"/>
                <w:szCs w:val="16"/>
                <w:color w:val="auto"/>
              </w:rPr>
              <w:t>Interest paid</w:t>
            </w: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(1,839</w:t>
            </w:r>
          </w:p>
        </w:tc>
        <w:tc>
          <w:tcPr>
            <w:tcW w:w="220" w:type="dxa"/>
            <w:vAlign w:val="bottom"/>
            <w:tcBorders>
              <w:top w:val="single" w:sz="8" w:color="CCEEFF"/>
              <w:bottom w:val="single" w:sz="8" w:color="CCEEFF"/>
            </w:tcBorders>
          </w:tcPr>
          <w:p>
            <w:pPr>
              <w:jc w:val="right"/>
              <w:ind w:right="140"/>
              <w:spacing w:after="0"/>
              <w:rPr>
                <w:sz w:val="20"/>
                <w:szCs w:val="20"/>
                <w:color w:val="auto"/>
              </w:rPr>
            </w:pPr>
            <w:r>
              <w:rPr>
                <w:rFonts w:ascii="Arial" w:cs="Arial" w:eastAsia="Arial" w:hAnsi="Arial"/>
                <w:sz w:val="8"/>
                <w:szCs w:val="8"/>
                <w:color w:val="auto"/>
                <w:w w:val="73"/>
              </w:rPr>
              <w:t>)</w:t>
            </w:r>
          </w:p>
        </w:tc>
        <w:tc>
          <w:tcPr>
            <w:tcW w:w="11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(1,839</w:t>
            </w:r>
          </w:p>
        </w:tc>
        <w:tc>
          <w:tcPr>
            <w:tcW w:w="220" w:type="dxa"/>
            <w:vAlign w:val="bottom"/>
            <w:tcBorders>
              <w:top w:val="single" w:sz="8" w:color="CCEEFF"/>
              <w:bottom w:val="single" w:sz="8" w:color="CCEEFF"/>
            </w:tcBorders>
          </w:tcPr>
          <w:p>
            <w:pPr>
              <w:jc w:val="right"/>
              <w:ind w:right="80"/>
              <w:spacing w:after="0" w:line="175" w:lineRule="exact"/>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(2,216</w:t>
            </w:r>
          </w:p>
        </w:tc>
        <w:tc>
          <w:tcPr>
            <w:tcW w:w="220" w:type="dxa"/>
            <w:vAlign w:val="bottom"/>
            <w:tcBorders>
              <w:top w:val="single" w:sz="8" w:color="CCEEFF"/>
              <w:bottom w:val="single" w:sz="8" w:color="CCEEFF"/>
            </w:tcBorders>
          </w:tcPr>
          <w:p>
            <w:pPr>
              <w:jc w:val="right"/>
              <w:ind w:right="80"/>
              <w:spacing w:after="0" w:line="175" w:lineRule="exact"/>
              <w:rPr>
                <w:sz w:val="20"/>
                <w:szCs w:val="20"/>
                <w:color w:val="auto"/>
              </w:rPr>
            </w:pPr>
            <w:r>
              <w:rPr>
                <w:rFonts w:ascii="Arial" w:cs="Arial" w:eastAsia="Arial" w:hAnsi="Arial"/>
                <w:sz w:val="16"/>
                <w:szCs w:val="16"/>
                <w:color w:val="auto"/>
                <w:w w:val="74"/>
              </w:rPr>
              <w:t>)</w:t>
            </w:r>
          </w:p>
        </w:tc>
        <w:tc>
          <w:tcPr>
            <w:tcW w:w="12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(2,216</w:t>
            </w:r>
          </w:p>
        </w:tc>
        <w:tc>
          <w:tcPr>
            <w:tcW w:w="6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spacing w:after="0" w:line="163" w:lineRule="exact"/>
              <w:rPr>
                <w:sz w:val="20"/>
                <w:szCs w:val="20"/>
                <w:color w:val="auto"/>
              </w:rPr>
            </w:pPr>
            <w:r>
              <w:rPr>
                <w:rFonts w:ascii="Arial" w:cs="Arial" w:eastAsia="Arial" w:hAnsi="Arial"/>
                <w:sz w:val="16"/>
                <w:szCs w:val="16"/>
                <w:b w:val="1"/>
                <w:bCs w:val="1"/>
                <w:color w:val="auto"/>
              </w:rPr>
              <w:t>Cash flow</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provided by</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(used in)</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operating</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activities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52,815</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18,105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70,920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49,976</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18,310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68,286</w:t>
            </w:r>
          </w:p>
        </w:tc>
        <w:tc>
          <w:tcPr>
            <w:tcW w:w="0" w:type="dxa"/>
            <w:vAlign w:val="bottom"/>
          </w:tcPr>
          <w:p>
            <w:pPr>
              <w:spacing w:after="0"/>
              <w:rPr>
                <w:sz w:val="1"/>
                <w:szCs w:val="1"/>
                <w:color w:val="auto"/>
              </w:rPr>
            </w:pPr>
          </w:p>
        </w:tc>
      </w:tr>
      <w:tr>
        <w:trPr>
          <w:trHeight w:val="191"/>
        </w:trPr>
        <w:tc>
          <w:tcPr>
            <w:tcW w:w="1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8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Investing</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activities: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380" w:type="dxa"/>
            <w:vAlign w:val="bottom"/>
            <w:gridSpan w:val="2"/>
          </w:tcPr>
          <w:p>
            <w:pPr>
              <w:spacing w:after="0" w:line="179" w:lineRule="exact"/>
              <w:rPr>
                <w:sz w:val="20"/>
                <w:szCs w:val="20"/>
                <w:color w:val="auto"/>
              </w:rPr>
            </w:pPr>
            <w:r>
              <w:rPr>
                <w:rFonts w:ascii="Arial" w:cs="Arial" w:eastAsia="Arial" w:hAnsi="Arial"/>
                <w:sz w:val="16"/>
                <w:szCs w:val="16"/>
                <w:color w:val="auto"/>
              </w:rPr>
              <w:t>Advances to</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380" w:type="dxa"/>
            <w:vAlign w:val="bottom"/>
            <w:gridSpan w:val="2"/>
          </w:tcPr>
          <w:p>
            <w:pPr>
              <w:ind w:left="140"/>
              <w:spacing w:after="0"/>
              <w:rPr>
                <w:sz w:val="20"/>
                <w:szCs w:val="20"/>
                <w:color w:val="auto"/>
              </w:rPr>
            </w:pPr>
            <w:r>
              <w:rPr>
                <w:rFonts w:ascii="Arial" w:cs="Arial" w:eastAsia="Arial" w:hAnsi="Arial"/>
                <w:sz w:val="16"/>
                <w:szCs w:val="16"/>
                <w:color w:val="auto"/>
              </w:rPr>
              <w:t>related parties</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(289)</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179"/>
        </w:trPr>
        <w:tc>
          <w:tcPr>
            <w:tcW w:w="138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color w:val="auto"/>
              </w:rPr>
              <w:t>Proceeds from</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related parties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147"/>
        </w:trPr>
        <w:tc>
          <w:tcPr>
            <w:tcW w:w="1200" w:type="dxa"/>
            <w:vAlign w:val="bottom"/>
            <w:tcBorders>
              <w:top w:val="single" w:sz="8" w:color="CCEEFF"/>
            </w:tcBorders>
          </w:tcPr>
          <w:p>
            <w:pPr>
              <w:spacing w:after="0" w:line="147" w:lineRule="exact"/>
              <w:rPr>
                <w:sz w:val="20"/>
                <w:szCs w:val="20"/>
                <w:color w:val="auto"/>
              </w:rPr>
            </w:pPr>
            <w:r>
              <w:rPr>
                <w:rFonts w:ascii="Arial" w:cs="Arial" w:eastAsia="Arial" w:hAnsi="Arial"/>
                <w:sz w:val="16"/>
                <w:szCs w:val="16"/>
                <w:b w:val="1"/>
                <w:bCs w:val="1"/>
                <w:color w:val="auto"/>
              </w:rPr>
              <w:t>Cash flow</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provided by</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(used in)</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investing</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activities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(17,286)</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195</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(17,091)</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(12,112)</w:t>
            </w:r>
          </w:p>
        </w:tc>
        <w:tc>
          <w:tcPr>
            <w:tcW w:w="1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(12,069)</w:t>
            </w:r>
          </w:p>
        </w:tc>
        <w:tc>
          <w:tcPr>
            <w:tcW w:w="0" w:type="dxa"/>
            <w:vAlign w:val="bottom"/>
          </w:tcPr>
          <w:p>
            <w:pPr>
              <w:spacing w:after="0"/>
              <w:rPr>
                <w:sz w:val="1"/>
                <w:szCs w:val="1"/>
                <w:color w:val="auto"/>
              </w:rPr>
            </w:pPr>
          </w:p>
        </w:tc>
      </w:tr>
      <w:tr>
        <w:trPr>
          <w:trHeight w:val="191"/>
        </w:trPr>
        <w:tc>
          <w:tcPr>
            <w:tcW w:w="1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380" w:type="dxa"/>
            <w:vAlign w:val="bottom"/>
            <w:gridSpan w:val="2"/>
          </w:tcPr>
          <w:p>
            <w:pPr>
              <w:spacing w:after="0" w:line="179" w:lineRule="exact"/>
              <w:rPr>
                <w:sz w:val="20"/>
                <w:szCs w:val="20"/>
                <w:color w:val="auto"/>
              </w:rPr>
            </w:pPr>
            <w:r>
              <w:rPr>
                <w:rFonts w:ascii="Arial" w:cs="Arial" w:eastAsia="Arial" w:hAnsi="Arial"/>
                <w:sz w:val="16"/>
                <w:szCs w:val="16"/>
                <w:i w:val="1"/>
                <w:iCs w:val="1"/>
                <w:color w:val="auto"/>
              </w:rPr>
              <w:t>Financing</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380" w:type="dxa"/>
            <w:vAlign w:val="bottom"/>
            <w:gridSpan w:val="2"/>
          </w:tcPr>
          <w:p>
            <w:pPr>
              <w:ind w:left="140"/>
              <w:spacing w:after="0"/>
              <w:rPr>
                <w:sz w:val="20"/>
                <w:szCs w:val="20"/>
                <w:color w:val="auto"/>
              </w:rPr>
            </w:pPr>
            <w:r>
              <w:rPr>
                <w:rFonts w:ascii="Arial" w:cs="Arial" w:eastAsia="Arial" w:hAnsi="Arial"/>
                <w:sz w:val="16"/>
                <w:szCs w:val="16"/>
                <w:i w:val="1"/>
                <w:iCs w:val="1"/>
                <w:color w:val="auto"/>
              </w:rPr>
              <w:t>activities: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380" w:type="dxa"/>
            <w:vAlign w:val="bottom"/>
            <w:gridSpan w:val="2"/>
            <w:shd w:val="clear" w:color="auto" w:fill="CCEEFF"/>
          </w:tcPr>
          <w:p>
            <w:pPr>
              <w:ind w:left="140"/>
              <w:spacing w:after="0" w:line="179" w:lineRule="exact"/>
              <w:rPr>
                <w:sz w:val="20"/>
                <w:szCs w:val="20"/>
                <w:color w:val="auto"/>
              </w:rPr>
            </w:pPr>
            <w:r>
              <w:rPr>
                <w:rFonts w:ascii="Arial" w:cs="Arial" w:eastAsia="Arial" w:hAnsi="Arial"/>
                <w:sz w:val="16"/>
                <w:szCs w:val="16"/>
                <w:color w:val="auto"/>
              </w:rPr>
              <w:t>Proceeds from</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106,736</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106,736</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96,392</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96,392</w:t>
            </w:r>
          </w:p>
        </w:tc>
        <w:tc>
          <w:tcPr>
            <w:tcW w:w="0" w:type="dxa"/>
            <w:vAlign w:val="bottom"/>
          </w:tcPr>
          <w:p>
            <w:pPr>
              <w:spacing w:after="0"/>
              <w:rPr>
                <w:sz w:val="1"/>
                <w:szCs w:val="1"/>
                <w:color w:val="auto"/>
              </w:rPr>
            </w:pPr>
          </w:p>
        </w:tc>
      </w:tr>
      <w:tr>
        <w:trPr>
          <w:trHeight w:val="179"/>
        </w:trPr>
        <w:tc>
          <w:tcPr>
            <w:tcW w:w="1380" w:type="dxa"/>
            <w:vAlign w:val="bottom"/>
            <w:gridSpan w:val="2"/>
          </w:tcPr>
          <w:p>
            <w:pPr>
              <w:ind w:left="140"/>
              <w:spacing w:after="0" w:line="179" w:lineRule="exact"/>
              <w:rPr>
                <w:sz w:val="20"/>
                <w:szCs w:val="20"/>
                <w:color w:val="auto"/>
              </w:rPr>
            </w:pPr>
            <w:r>
              <w:rPr>
                <w:rFonts w:ascii="Arial" w:cs="Arial" w:eastAsia="Arial" w:hAnsi="Arial"/>
                <w:sz w:val="16"/>
                <w:szCs w:val="16"/>
                <w:color w:val="auto"/>
              </w:rPr>
              <w:t>Payments on</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380" w:type="dxa"/>
            <w:vAlign w:val="bottom"/>
            <w:gridSpan w:val="2"/>
          </w:tcPr>
          <w:p>
            <w:pPr>
              <w:ind w:left="280"/>
              <w:spacing w:after="0"/>
              <w:rPr>
                <w:sz w:val="20"/>
                <w:szCs w:val="20"/>
                <w:color w:val="auto"/>
              </w:rPr>
            </w:pPr>
            <w:r>
              <w:rPr>
                <w:rFonts w:ascii="Arial" w:cs="Arial" w:eastAsia="Arial" w:hAnsi="Arial"/>
                <w:sz w:val="16"/>
                <w:szCs w:val="16"/>
                <w:color w:val="auto"/>
              </w:rPr>
              <w:t>borrowings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(106,375)</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(19,944)</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5,733</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(120,586)</w:t>
            </w:r>
          </w:p>
        </w:tc>
        <w:tc>
          <w:tcPr>
            <w:tcW w:w="1140" w:type="dxa"/>
            <w:vAlign w:val="bottom"/>
          </w:tcPr>
          <w:p>
            <w:pPr>
              <w:jc w:val="right"/>
              <w:spacing w:after="0"/>
              <w:rPr>
                <w:sz w:val="20"/>
                <w:szCs w:val="20"/>
                <w:color w:val="auto"/>
              </w:rPr>
            </w:pPr>
            <w:r>
              <w:rPr>
                <w:rFonts w:ascii="Arial" w:cs="Arial" w:eastAsia="Arial" w:hAnsi="Arial"/>
                <w:sz w:val="16"/>
                <w:szCs w:val="16"/>
                <w:color w:val="auto"/>
              </w:rPr>
              <w:t>(101,961)</w:t>
            </w:r>
          </w:p>
        </w:tc>
        <w:tc>
          <w:tcPr>
            <w:tcW w:w="1480" w:type="dxa"/>
            <w:vAlign w:val="bottom"/>
            <w:gridSpan w:val="3"/>
          </w:tcPr>
          <w:p>
            <w:pPr>
              <w:jc w:val="right"/>
              <w:ind w:right="80"/>
              <w:spacing w:after="0"/>
              <w:rPr>
                <w:sz w:val="20"/>
                <w:szCs w:val="20"/>
                <w:color w:val="auto"/>
              </w:rPr>
            </w:pPr>
            <w:r>
              <w:rPr>
                <w:rFonts w:ascii="Arial" w:cs="Arial" w:eastAsia="Arial" w:hAnsi="Arial"/>
                <w:sz w:val="16"/>
                <w:szCs w:val="16"/>
                <w:color w:val="auto"/>
              </w:rPr>
              <w:t>(20,526)</w:t>
            </w:r>
          </w:p>
        </w:tc>
        <w:tc>
          <w:tcPr>
            <w:tcW w:w="1200" w:type="dxa"/>
            <w:vAlign w:val="bottom"/>
          </w:tcPr>
          <w:p>
            <w:pPr>
              <w:jc w:val="right"/>
              <w:spacing w:after="0"/>
              <w:rPr>
                <w:sz w:val="20"/>
                <w:szCs w:val="20"/>
                <w:color w:val="auto"/>
              </w:rPr>
            </w:pPr>
            <w:r>
              <w:rPr>
                <w:rFonts w:ascii="Arial" w:cs="Arial" w:eastAsia="Arial" w:hAnsi="Arial"/>
                <w:sz w:val="16"/>
                <w:szCs w:val="16"/>
                <w:color w:val="auto"/>
              </w:rPr>
              <w:t>4,070</w:t>
            </w:r>
          </w:p>
        </w:tc>
        <w:tc>
          <w:tcPr>
            <w:tcW w:w="2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(118,417)</w:t>
            </w:r>
          </w:p>
        </w:tc>
        <w:tc>
          <w:tcPr>
            <w:tcW w:w="0" w:type="dxa"/>
            <w:vAlign w:val="bottom"/>
          </w:tcPr>
          <w:p>
            <w:pPr>
              <w:spacing w:after="0"/>
              <w:rPr>
                <w:sz w:val="1"/>
                <w:szCs w:val="1"/>
                <w:color w:val="auto"/>
              </w:rPr>
            </w:pPr>
          </w:p>
        </w:tc>
      </w:tr>
      <w:tr>
        <w:trPr>
          <w:trHeight w:val="179"/>
        </w:trPr>
        <w:tc>
          <w:tcPr>
            <w:tcW w:w="1380" w:type="dxa"/>
            <w:vAlign w:val="bottom"/>
            <w:gridSpan w:val="2"/>
            <w:shd w:val="clear" w:color="auto" w:fill="CCEEFF"/>
          </w:tcPr>
          <w:p>
            <w:pPr>
              <w:ind w:left="140"/>
              <w:spacing w:after="0" w:line="179" w:lineRule="exact"/>
              <w:rPr>
                <w:sz w:val="20"/>
                <w:szCs w:val="20"/>
                <w:color w:val="auto"/>
              </w:rPr>
            </w:pPr>
            <w:r>
              <w:rPr>
                <w:rFonts w:ascii="Arial" w:cs="Arial" w:eastAsia="Arial" w:hAnsi="Arial"/>
                <w:sz w:val="16"/>
                <w:szCs w:val="16"/>
                <w:color w:val="auto"/>
              </w:rPr>
              <w:t>Advances to</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related</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parties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1380" w:type="dxa"/>
            <w:vAlign w:val="bottom"/>
            <w:gridSpan w:val="2"/>
          </w:tcPr>
          <w:p>
            <w:pPr>
              <w:ind w:left="140"/>
              <w:spacing w:after="0" w:line="179" w:lineRule="exact"/>
              <w:rPr>
                <w:sz w:val="20"/>
                <w:szCs w:val="20"/>
                <w:color w:val="auto"/>
              </w:rPr>
            </w:pPr>
            <w:r>
              <w:rPr>
                <w:rFonts w:ascii="Arial" w:cs="Arial" w:eastAsia="Arial" w:hAnsi="Arial"/>
                <w:sz w:val="16"/>
                <w:szCs w:val="16"/>
                <w:color w:val="auto"/>
              </w:rPr>
              <w:t>Proceeds from</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80" w:type="dxa"/>
            <w:vAlign w:val="bottom"/>
            <w:gridSpan w:val="2"/>
          </w:tcPr>
          <w:p>
            <w:pPr>
              <w:ind w:left="280"/>
              <w:spacing w:after="0"/>
              <w:rPr>
                <w:sz w:val="20"/>
                <w:szCs w:val="20"/>
                <w:color w:val="auto"/>
              </w:rPr>
            </w:pPr>
            <w:r>
              <w:rPr>
                <w:rFonts w:ascii="Arial" w:cs="Arial" w:eastAsia="Arial" w:hAnsi="Arial"/>
                <w:sz w:val="16"/>
                <w:szCs w:val="16"/>
                <w:color w:val="auto"/>
              </w:rPr>
              <w:t>related</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80" w:type="dxa"/>
            <w:vAlign w:val="bottom"/>
            <w:gridSpan w:val="2"/>
          </w:tcPr>
          <w:p>
            <w:pPr>
              <w:ind w:left="280"/>
              <w:spacing w:after="0"/>
              <w:rPr>
                <w:sz w:val="20"/>
                <w:szCs w:val="20"/>
                <w:color w:val="auto"/>
              </w:rPr>
            </w:pPr>
            <w:r>
              <w:rPr>
                <w:rFonts w:ascii="Arial" w:cs="Arial" w:eastAsia="Arial" w:hAnsi="Arial"/>
                <w:sz w:val="16"/>
                <w:szCs w:val="16"/>
                <w:color w:val="auto"/>
              </w:rPr>
              <w:t>parties</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195</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(195)</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332</w:t>
            </w:r>
          </w:p>
        </w:tc>
        <w:tc>
          <w:tcPr>
            <w:tcW w:w="16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(332)</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1380" w:type="dxa"/>
            <w:vAlign w:val="bottom"/>
            <w:gridSpan w:val="2"/>
            <w:shd w:val="clear" w:color="auto" w:fill="CCEEFF"/>
          </w:tcPr>
          <w:p>
            <w:pPr>
              <w:ind w:left="140"/>
              <w:spacing w:after="0" w:line="179" w:lineRule="exact"/>
              <w:rPr>
                <w:sz w:val="20"/>
                <w:szCs w:val="20"/>
                <w:color w:val="auto"/>
              </w:rPr>
            </w:pPr>
            <w:r>
              <w:rPr>
                <w:rFonts w:ascii="Arial" w:cs="Arial" w:eastAsia="Arial" w:hAnsi="Arial"/>
                <w:sz w:val="16"/>
                <w:szCs w:val="16"/>
                <w:color w:val="auto"/>
              </w:rPr>
              <w:t>Interest paid</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on</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(16,941)</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1,839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(15,102)</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(18,500)</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2,216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(16,284)</w:t>
            </w:r>
          </w:p>
        </w:tc>
        <w:tc>
          <w:tcPr>
            <w:tcW w:w="0" w:type="dxa"/>
            <w:vAlign w:val="bottom"/>
          </w:tcPr>
          <w:p>
            <w:pPr>
              <w:spacing w:after="0"/>
              <w:rPr>
                <w:sz w:val="1"/>
                <w:szCs w:val="1"/>
                <w:color w:val="auto"/>
              </w:rPr>
            </w:pPr>
          </w:p>
        </w:tc>
      </w:tr>
      <w:tr>
        <w:trPr>
          <w:trHeight w:val="179"/>
        </w:trPr>
        <w:tc>
          <w:tcPr>
            <w:tcW w:w="1380" w:type="dxa"/>
            <w:vAlign w:val="bottom"/>
            <w:gridSpan w:val="2"/>
          </w:tcPr>
          <w:p>
            <w:pPr>
              <w:ind w:left="140"/>
              <w:spacing w:after="0" w:line="179" w:lineRule="exact"/>
              <w:rPr>
                <w:sz w:val="20"/>
                <w:szCs w:val="20"/>
                <w:color w:val="auto"/>
              </w:rPr>
            </w:pPr>
            <w:r>
              <w:rPr>
                <w:rFonts w:ascii="Arial" w:cs="Arial" w:eastAsia="Arial" w:hAnsi="Arial"/>
                <w:sz w:val="16"/>
                <w:szCs w:val="16"/>
                <w:color w:val="auto"/>
              </w:rPr>
              <w:t>Payment of</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80" w:type="dxa"/>
            <w:vAlign w:val="bottom"/>
            <w:gridSpan w:val="2"/>
          </w:tcPr>
          <w:p>
            <w:pPr>
              <w:ind w:left="280"/>
              <w:spacing w:after="0"/>
              <w:rPr>
                <w:sz w:val="20"/>
                <w:szCs w:val="20"/>
                <w:color w:val="auto"/>
              </w:rPr>
            </w:pPr>
            <w:r>
              <w:rPr>
                <w:rFonts w:ascii="Arial" w:cs="Arial" w:eastAsia="Arial" w:hAnsi="Arial"/>
                <w:sz w:val="16"/>
                <w:szCs w:val="16"/>
                <w:color w:val="auto"/>
              </w:rPr>
              <w:t>lease</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380" w:type="dxa"/>
            <w:vAlign w:val="bottom"/>
            <w:gridSpan w:val="2"/>
          </w:tcPr>
          <w:p>
            <w:pPr>
              <w:ind w:left="280"/>
              <w:spacing w:after="0"/>
              <w:rPr>
                <w:sz w:val="20"/>
                <w:szCs w:val="20"/>
                <w:color w:val="auto"/>
              </w:rPr>
            </w:pPr>
            <w:r>
              <w:rPr>
                <w:rFonts w:ascii="Arial" w:cs="Arial" w:eastAsia="Arial" w:hAnsi="Arial"/>
                <w:sz w:val="16"/>
                <w:szCs w:val="16"/>
                <w:color w:val="auto"/>
              </w:rPr>
              <w:t>liabilities</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(5,733)</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(5,733)</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(4,070)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(4,070)</w:t>
            </w:r>
          </w:p>
        </w:tc>
        <w:tc>
          <w:tcPr>
            <w:tcW w:w="0" w:type="dxa"/>
            <w:vAlign w:val="bottom"/>
          </w:tcPr>
          <w:p>
            <w:pPr>
              <w:spacing w:after="0"/>
              <w:rPr>
                <w:sz w:val="1"/>
                <w:szCs w:val="1"/>
                <w:color w:val="auto"/>
              </w:rPr>
            </w:pPr>
          </w:p>
        </w:tc>
      </w:tr>
      <w:tr>
        <w:trPr>
          <w:trHeight w:val="163"/>
        </w:trPr>
        <w:tc>
          <w:tcPr>
            <w:tcW w:w="120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6"/>
                <w:szCs w:val="16"/>
                <w:b w:val="1"/>
                <w:bCs w:val="1"/>
                <w:color w:val="auto"/>
              </w:rPr>
              <w:t>Cash Flow</w:t>
            </w: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generated</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from (used</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in) financing</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activities</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(22,209)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(18,105)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(195)</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(40,509)</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(28,596)</w:t>
            </w: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(18,310)</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(46,949)</w:t>
            </w:r>
          </w:p>
        </w:tc>
        <w:tc>
          <w:tcPr>
            <w:tcW w:w="0" w:type="dxa"/>
            <w:vAlign w:val="bottom"/>
          </w:tcPr>
          <w:p>
            <w:pPr>
              <w:spacing w:after="0"/>
              <w:rPr>
                <w:sz w:val="1"/>
                <w:szCs w:val="1"/>
                <w:color w:val="auto"/>
              </w:rPr>
            </w:pPr>
          </w:p>
        </w:tc>
      </w:tr>
      <w:tr>
        <w:trPr>
          <w:trHeight w:val="24"/>
        </w:trPr>
        <w:tc>
          <w:tcPr>
            <w:tcW w:w="1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284" w:right="20" w:hanging="284"/>
        <w:spacing w:after="0" w:line="191" w:lineRule="auto"/>
        <w:tabs>
          <w:tab w:leader="none" w:pos="284" w:val="left"/>
        </w:tabs>
        <w:numPr>
          <w:ilvl w:val="0"/>
          <w:numId w:val="70"/>
        </w:numPr>
        <w:rPr>
          <w:rFonts w:ascii="Arial" w:cs="Arial" w:eastAsia="Arial" w:hAnsi="Arial"/>
          <w:sz w:val="27"/>
          <w:szCs w:val="27"/>
          <w:color w:val="auto"/>
          <w:vertAlign w:val="superscript"/>
        </w:rPr>
      </w:pPr>
      <w:r>
        <w:rPr>
          <w:rFonts w:ascii="Arial" w:cs="Arial" w:eastAsia="Arial" w:hAnsi="Arial"/>
          <w:sz w:val="16"/>
          <w:szCs w:val="16"/>
          <w:color w:val="auto"/>
        </w:rPr>
        <w:t>In addition to the errors related to factoring and reverse factoring arrangements, this column includes an error related to the classification of interest paid on lease liabilities from financing into operating cash flows.</w:t>
      </w:r>
    </w:p>
    <w:p>
      <w:pPr>
        <w:spacing w:after="0" w:line="180" w:lineRule="exact"/>
        <w:rPr>
          <w:sz w:val="20"/>
          <w:szCs w:val="20"/>
          <w:color w:val="auto"/>
        </w:rPr>
      </w:pPr>
    </w:p>
    <w:p>
      <w:pPr>
        <w:jc w:val="both"/>
        <w:ind w:left="284" w:right="20" w:hanging="284"/>
        <w:spacing w:after="0" w:line="207" w:lineRule="auto"/>
        <w:tabs>
          <w:tab w:leader="none" w:pos="284" w:val="left"/>
        </w:tabs>
        <w:numPr>
          <w:ilvl w:val="0"/>
          <w:numId w:val="71"/>
        </w:numPr>
        <w:rPr>
          <w:rFonts w:ascii="Arial" w:cs="Arial" w:eastAsia="Arial" w:hAnsi="Arial"/>
          <w:sz w:val="27"/>
          <w:szCs w:val="27"/>
          <w:color w:val="auto"/>
          <w:vertAlign w:val="superscript"/>
        </w:rPr>
      </w:pPr>
      <w:r>
        <w:rPr>
          <w:rFonts w:ascii="Arial" w:cs="Arial" w:eastAsia="Arial" w:hAnsi="Arial"/>
          <w:sz w:val="16"/>
          <w:szCs w:val="16"/>
          <w:color w:val="auto"/>
        </w:rPr>
        <w:t>Certain reclassifications have been made to prior years Consolidated Statement of Cash Flows to conform to the current year presentation, which include the separate disclosure for payment of lease liabilities and presentation of cash flow to/from related parties regarding loans to such entities in investing activities. These reclassifications had no impact on previously reported loss for the years nor accumulated losses.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 amounts financed under reverse factoring arrangements during each period are disclosed in the non-cash items footnote below the Consolidated Statement of Cash Flows.</w:t>
      </w:r>
    </w:p>
    <w:p>
      <w:pPr>
        <w:spacing w:after="0" w:line="21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II. Effect of the restatement on unaudited condensed consolidated interim financial information (Unaudited)</w:t>
      </w:r>
    </w:p>
    <w:p>
      <w:pPr>
        <w:spacing w:after="0" w:line="202" w:lineRule="exact"/>
        <w:rPr>
          <w:sz w:val="20"/>
          <w:szCs w:val="20"/>
          <w:color w:val="auto"/>
        </w:rPr>
      </w:pPr>
    </w:p>
    <w:p>
      <w:pPr>
        <w:jc w:val="both"/>
        <w:ind w:left="4"/>
        <w:spacing w:after="0" w:line="262" w:lineRule="auto"/>
        <w:rPr>
          <w:sz w:val="20"/>
          <w:szCs w:val="20"/>
          <w:color w:val="auto"/>
        </w:rPr>
      </w:pPr>
      <w:r>
        <w:rPr>
          <w:rFonts w:ascii="Arial" w:cs="Arial" w:eastAsia="Arial" w:hAnsi="Arial"/>
          <w:sz w:val="16"/>
          <w:szCs w:val="16"/>
          <w:color w:val="auto"/>
        </w:rPr>
        <w:t>The Group concluded that the financial statements contained in the Group's interim condensed consolidated financial statements for the interim periods ended June 30, 2021, and June 30, 2020 in the Group’s registration statement on Form F-1 filed with the Securities and Exchange Commission on November 24, 2021, and declared effective on December 6, 2021, also were materially misstated because of the errors discussed above.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restatement of the Statement of Financial Position for the historical interim periods resulted in the following impacts.</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Unaudited Condensed Consolidated Interim Statement of Financial Position</w:t>
      </w:r>
    </w:p>
    <w:p>
      <w:pPr>
        <w:spacing w:after="0" w:line="206" w:lineRule="exact"/>
        <w:rPr>
          <w:sz w:val="20"/>
          <w:szCs w:val="20"/>
          <w:color w:val="auto"/>
        </w:rPr>
      </w:pPr>
    </w:p>
    <w:p>
      <w:pPr>
        <w:ind w:left="8584"/>
        <w:spacing w:after="0"/>
        <w:rPr>
          <w:sz w:val="20"/>
          <w:szCs w:val="20"/>
          <w:color w:val="auto"/>
        </w:rPr>
      </w:pPr>
      <w:r>
        <w:rPr>
          <w:rFonts w:ascii="Arial" w:cs="Arial" w:eastAsia="Arial" w:hAnsi="Arial"/>
          <w:sz w:val="16"/>
          <w:szCs w:val="16"/>
          <w:b w:val="1"/>
          <w:bCs w:val="1"/>
          <w:color w:val="auto"/>
        </w:rPr>
        <w:t>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15240</wp:posOffset>
            </wp:positionV>
            <wp:extent cx="242824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2428240" cy="15240"/>
                    </a:xfrm>
                    <a:prstGeom prst="rect">
                      <a:avLst/>
                    </a:prstGeom>
                    <a:noFill/>
                  </pic:spPr>
                </pic:pic>
              </a:graphicData>
            </a:graphic>
          </wp:anchor>
        </w:drawing>
      </w:r>
    </w:p>
    <w:p>
      <w:pPr>
        <w:sectPr>
          <w:pgSz w:w="11900" w:h="16838" w:orient="portrait"/>
          <w:cols w:equalWidth="0" w:num="1">
            <w:col w:w="11264"/>
          </w:cols>
          <w:pgMar w:left="316" w:top="792" w:right="319" w:bottom="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91"/>
        </w:trPr>
        <w:tc>
          <w:tcPr>
            <w:tcW w:w="3680" w:type="dxa"/>
            <w:vAlign w:val="bottom"/>
          </w:tcPr>
          <w:p>
            <w:pPr>
              <w:spacing w:after="0"/>
              <w:rPr>
                <w:sz w:val="20"/>
                <w:szCs w:val="20"/>
                <w:color w:val="auto"/>
              </w:rPr>
            </w:pPr>
            <w:r>
              <w:rPr>
                <w:rFonts w:ascii="Arial" w:cs="Arial" w:eastAsia="Arial" w:hAnsi="Arial"/>
                <w:sz w:val="16"/>
                <w:szCs w:val="16"/>
                <w:b w:val="1"/>
                <w:bCs w:val="1"/>
                <w:color w:val="auto"/>
              </w:rPr>
              <w:t>Balance Sheet, restated</w:t>
            </w:r>
          </w:p>
        </w:tc>
        <w:tc>
          <w:tcPr>
            <w:tcW w:w="364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reported</w:t>
            </w:r>
          </w:p>
        </w:tc>
        <w:tc>
          <w:tcPr>
            <w:tcW w:w="13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Restatement</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As restated</w:t>
            </w:r>
          </w:p>
        </w:tc>
      </w:tr>
      <w:tr>
        <w:trPr>
          <w:trHeight w:val="212"/>
        </w:trPr>
        <w:tc>
          <w:tcPr>
            <w:tcW w:w="36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Adjustments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36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36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5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95,262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17,479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112,741</w:t>
            </w:r>
          </w:p>
        </w:tc>
      </w:tr>
      <w:tr>
        <w:trPr>
          <w:trHeight w:val="204"/>
        </w:trPr>
        <w:tc>
          <w:tcPr>
            <w:tcW w:w="3680" w:type="dxa"/>
            <w:vAlign w:val="bottom"/>
          </w:tcPr>
          <w:p>
            <w:pPr>
              <w:spacing w:after="0"/>
              <w:rPr>
                <w:sz w:val="20"/>
                <w:szCs w:val="20"/>
                <w:color w:val="auto"/>
              </w:rPr>
            </w:pPr>
            <w:r>
              <w:rPr>
                <w:rFonts w:ascii="Arial" w:cs="Arial" w:eastAsia="Arial" w:hAnsi="Arial"/>
                <w:sz w:val="16"/>
                <w:szCs w:val="16"/>
                <w:color w:val="auto"/>
              </w:rPr>
              <w:t>Trade and other payables, net</w:t>
            </w:r>
          </w:p>
        </w:tc>
        <w:tc>
          <w:tcPr>
            <w:tcW w:w="5020" w:type="dxa"/>
            <w:vAlign w:val="bottom"/>
            <w:gridSpan w:val="3"/>
          </w:tcPr>
          <w:p>
            <w:pPr>
              <w:jc w:val="right"/>
              <w:ind w:right="240"/>
              <w:spacing w:after="0"/>
              <w:rPr>
                <w:sz w:val="20"/>
                <w:szCs w:val="20"/>
                <w:color w:val="auto"/>
              </w:rPr>
            </w:pPr>
            <w:r>
              <w:rPr>
                <w:rFonts w:ascii="Arial" w:cs="Arial" w:eastAsia="Arial" w:hAnsi="Arial"/>
                <w:sz w:val="16"/>
                <w:szCs w:val="16"/>
                <w:color w:val="auto"/>
              </w:rPr>
              <w:t>113,117</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(17,479)</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95,638</w:t>
            </w:r>
          </w:p>
        </w:tc>
      </w:tr>
      <w:tr>
        <w:trPr>
          <w:trHeight w:val="565"/>
        </w:trPr>
        <w:tc>
          <w:tcPr>
            <w:tcW w:w="36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3"/>
          </w:tcPr>
          <w:p>
            <w:pPr>
              <w:ind w:left="1800"/>
              <w:spacing w:after="0"/>
              <w:rPr>
                <w:sz w:val="20"/>
                <w:szCs w:val="20"/>
                <w:color w:val="auto"/>
              </w:rPr>
            </w:pPr>
            <w:r>
              <w:rPr>
                <w:rFonts w:ascii="Arial" w:cs="Arial" w:eastAsia="Arial" w:hAnsi="Arial"/>
                <w:sz w:val="16"/>
                <w:szCs w:val="16"/>
                <w:color w:val="auto"/>
              </w:rPr>
              <w:t>F-15</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23" w:right="319" w:bottom="1440" w:gutter="0" w:footer="0" w:header="0"/>
        </w:sectPr>
      </w:pPr>
    </w:p>
    <w:bookmarkStart w:id="140" w:name="page141"/>
    <w:bookmarkEnd w:id="140"/>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restatement of the Cash Flow Statement for the historical interim periods resulted in the following impact:</w:t>
      </w:r>
    </w:p>
    <w:p>
      <w:pPr>
        <w:spacing w:after="0" w:line="198" w:lineRule="exact"/>
        <w:rPr>
          <w:sz w:val="20"/>
          <w:szCs w:val="20"/>
          <w:color w:val="auto"/>
        </w:rPr>
      </w:pPr>
    </w:p>
    <w:p>
      <w:pPr>
        <w:jc w:val="center"/>
        <w:ind w:right="36"/>
        <w:spacing w:after="0"/>
        <w:rPr>
          <w:sz w:val="20"/>
          <w:szCs w:val="20"/>
          <w:color w:val="auto"/>
        </w:rPr>
      </w:pPr>
      <w:r>
        <w:rPr>
          <w:rFonts w:ascii="Arial" w:cs="Arial" w:eastAsia="Arial" w:hAnsi="Arial"/>
          <w:sz w:val="16"/>
          <w:szCs w:val="16"/>
          <w:color w:val="auto"/>
        </w:rPr>
        <w:t>Unaudited Condensed Consolidated Interim Statement of Cash Flows</w:t>
      </w:r>
    </w:p>
    <w:p>
      <w:pPr>
        <w:spacing w:after="0" w:line="202"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4020" w:type="dxa"/>
            <w:vAlign w:val="bottom"/>
            <w:tcBorders>
              <w:right w:val="single" w:sz="8" w:color="auto"/>
            </w:tcBorders>
            <w:gridSpan w:val="6"/>
          </w:tcPr>
          <w:p>
            <w:pPr>
              <w:jc w:val="center"/>
              <w:ind w:right="120"/>
              <w:spacing w:after="0"/>
              <w:rPr>
                <w:sz w:val="20"/>
                <w:szCs w:val="20"/>
                <w:color w:val="auto"/>
              </w:rPr>
            </w:pPr>
            <w:r>
              <w:rPr>
                <w:rFonts w:ascii="Arial" w:cs="Arial" w:eastAsia="Arial" w:hAnsi="Arial"/>
                <w:sz w:val="16"/>
                <w:szCs w:val="16"/>
                <w:b w:val="1"/>
                <w:bCs w:val="1"/>
                <w:color w:val="auto"/>
                <w:w w:val="89"/>
              </w:rPr>
              <w:t>For the six month period ending</w:t>
            </w:r>
          </w:p>
        </w:tc>
        <w:tc>
          <w:tcPr>
            <w:tcW w:w="100" w:type="dxa"/>
            <w:vAlign w:val="bottom"/>
          </w:tcPr>
          <w:p>
            <w:pPr>
              <w:spacing w:after="0"/>
              <w:rPr>
                <w:sz w:val="16"/>
                <w:szCs w:val="16"/>
                <w:color w:val="auto"/>
              </w:rPr>
            </w:pPr>
          </w:p>
        </w:tc>
        <w:tc>
          <w:tcPr>
            <w:tcW w:w="388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89"/>
              </w:rPr>
              <w:t>For the six month period ending</w:t>
            </w:r>
          </w:p>
        </w:tc>
      </w:tr>
      <w:tr>
        <w:trPr>
          <w:trHeight w:val="212"/>
        </w:trPr>
        <w:tc>
          <w:tcPr>
            <w:tcW w:w="32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0"/>
              </w:rPr>
              <w:t>June 30, 2021</w:t>
            </w:r>
          </w:p>
        </w:tc>
        <w:tc>
          <w:tcPr>
            <w:tcW w:w="114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8"/>
              </w:rPr>
              <w:t>June 30, 2020</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8"/>
        </w:trPr>
        <w:tc>
          <w:tcPr>
            <w:tcW w:w="3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160"/>
              <w:spacing w:after="0" w:line="178" w:lineRule="exact"/>
              <w:rPr>
                <w:sz w:val="20"/>
                <w:szCs w:val="20"/>
                <w:color w:val="auto"/>
              </w:rPr>
            </w:pPr>
            <w:r>
              <w:rPr>
                <w:rFonts w:ascii="Arial" w:cs="Arial" w:eastAsia="Arial" w:hAnsi="Arial"/>
                <w:sz w:val="16"/>
                <w:szCs w:val="16"/>
                <w:b w:val="1"/>
                <w:bCs w:val="1"/>
                <w:color w:val="auto"/>
                <w:w w:val="89"/>
              </w:rPr>
              <w:t>Restatement</w:t>
            </w: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140"/>
              <w:spacing w:after="0" w:line="178" w:lineRule="exact"/>
              <w:rPr>
                <w:sz w:val="20"/>
                <w:szCs w:val="20"/>
                <w:color w:val="auto"/>
              </w:rPr>
            </w:pPr>
            <w:r>
              <w:rPr>
                <w:rFonts w:ascii="Arial" w:cs="Arial" w:eastAsia="Arial" w:hAnsi="Arial"/>
                <w:sz w:val="16"/>
                <w:szCs w:val="16"/>
                <w:b w:val="1"/>
                <w:bCs w:val="1"/>
                <w:color w:val="auto"/>
                <w:w w:val="87"/>
              </w:rPr>
              <w:t>Restatement</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3260" w:type="dxa"/>
            <w:vAlign w:val="bottom"/>
          </w:tcPr>
          <w:p>
            <w:pPr>
              <w:spacing w:after="0"/>
              <w:rPr>
                <w:sz w:val="21"/>
                <w:szCs w:val="21"/>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As reported</w:t>
            </w:r>
          </w:p>
        </w:tc>
        <w:tc>
          <w:tcPr>
            <w:tcW w:w="1380" w:type="dxa"/>
            <w:vAlign w:val="bottom"/>
            <w:gridSpan w:val="2"/>
          </w:tcPr>
          <w:p>
            <w:pPr>
              <w:jc w:val="center"/>
              <w:ind w:right="160"/>
              <w:spacing w:after="0" w:line="240" w:lineRule="exact"/>
              <w:rPr>
                <w:sz w:val="20"/>
                <w:szCs w:val="20"/>
                <w:color w:val="auto"/>
              </w:rPr>
            </w:pPr>
            <w:r>
              <w:rPr>
                <w:rFonts w:ascii="Arial" w:cs="Arial" w:eastAsia="Arial" w:hAnsi="Arial"/>
                <w:sz w:val="16"/>
                <w:szCs w:val="16"/>
                <w:b w:val="1"/>
                <w:bCs w:val="1"/>
                <w:color w:val="auto"/>
                <w:w w:val="86"/>
              </w:rPr>
              <w:t>Adjustments</w:t>
            </w:r>
            <w:r>
              <w:rPr>
                <w:rFonts w:ascii="Arial" w:cs="Arial" w:eastAsia="Arial" w:hAnsi="Arial"/>
                <w:sz w:val="26"/>
                <w:szCs w:val="26"/>
                <w:b w:val="1"/>
                <w:bCs w:val="1"/>
                <w:color w:val="auto"/>
                <w:w w:val="86"/>
                <w:vertAlign w:val="superscript"/>
              </w:rPr>
              <w:t>(1)</w:t>
            </w:r>
          </w:p>
        </w:tc>
        <w:tc>
          <w:tcPr>
            <w:tcW w:w="12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As restated</w:t>
            </w:r>
          </w:p>
        </w:tc>
        <w:tc>
          <w:tcPr>
            <w:tcW w:w="100" w:type="dxa"/>
            <w:vAlign w:val="bottom"/>
          </w:tcPr>
          <w:p>
            <w:pPr>
              <w:spacing w:after="0"/>
              <w:rPr>
                <w:sz w:val="21"/>
                <w:szCs w:val="21"/>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As reported</w:t>
            </w:r>
          </w:p>
        </w:tc>
        <w:tc>
          <w:tcPr>
            <w:tcW w:w="1340" w:type="dxa"/>
            <w:vAlign w:val="bottom"/>
            <w:gridSpan w:val="2"/>
          </w:tcPr>
          <w:p>
            <w:pPr>
              <w:jc w:val="center"/>
              <w:ind w:right="120"/>
              <w:spacing w:after="0" w:line="240" w:lineRule="exact"/>
              <w:rPr>
                <w:sz w:val="20"/>
                <w:szCs w:val="20"/>
                <w:color w:val="auto"/>
              </w:rPr>
            </w:pPr>
            <w:r>
              <w:rPr>
                <w:rFonts w:ascii="Arial" w:cs="Arial" w:eastAsia="Arial" w:hAnsi="Arial"/>
                <w:sz w:val="16"/>
                <w:szCs w:val="16"/>
                <w:b w:val="1"/>
                <w:bCs w:val="1"/>
                <w:color w:val="auto"/>
                <w:w w:val="86"/>
              </w:rPr>
              <w:t>Adjustments</w:t>
            </w:r>
            <w:r>
              <w:rPr>
                <w:rFonts w:ascii="Arial" w:cs="Arial" w:eastAsia="Arial" w:hAnsi="Arial"/>
                <w:sz w:val="26"/>
                <w:szCs w:val="26"/>
                <w:b w:val="1"/>
                <w:bCs w:val="1"/>
                <w:color w:val="auto"/>
                <w:w w:val="86"/>
                <w:vertAlign w:val="superscript"/>
              </w:rPr>
              <w:t>(2)</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As restated</w:t>
            </w:r>
          </w:p>
        </w:tc>
      </w:tr>
      <w:tr>
        <w:trPr>
          <w:trHeight w:val="179"/>
        </w:trPr>
        <w:tc>
          <w:tcPr>
            <w:tcW w:w="3260" w:type="dxa"/>
            <w:vAlign w:val="bottom"/>
          </w:tcPr>
          <w:p>
            <w:pPr>
              <w:spacing w:after="0" w:line="179" w:lineRule="exact"/>
              <w:rPr>
                <w:sz w:val="20"/>
                <w:szCs w:val="20"/>
                <w:color w:val="auto"/>
              </w:rPr>
            </w:pPr>
            <w:r>
              <w:rPr>
                <w:rFonts w:ascii="Arial" w:cs="Arial" w:eastAsia="Arial" w:hAnsi="Arial"/>
                <w:sz w:val="16"/>
                <w:szCs w:val="16"/>
                <w:b w:val="1"/>
                <w:bCs w:val="1"/>
                <w:color w:val="auto"/>
              </w:rPr>
              <w:t>Operating activities</w:t>
            </w:r>
          </w:p>
        </w:tc>
        <w:tc>
          <w:tcPr>
            <w:tcW w:w="11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3260" w:type="dxa"/>
            <w:vAlign w:val="bottom"/>
          </w:tcPr>
          <w:p>
            <w:pPr>
              <w:spacing w:after="0"/>
              <w:rPr>
                <w:sz w:val="20"/>
                <w:szCs w:val="20"/>
                <w:color w:val="auto"/>
              </w:rPr>
            </w:pPr>
            <w:r>
              <w:rPr>
                <w:rFonts w:ascii="Arial" w:cs="Arial" w:eastAsia="Arial" w:hAnsi="Arial"/>
                <w:sz w:val="16"/>
                <w:szCs w:val="16"/>
                <w:i w:val="1"/>
                <w:iCs w:val="1"/>
                <w:color w:val="auto"/>
              </w:rPr>
              <w:t>(Increase)/decrease in operating assets and</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3260" w:type="dxa"/>
            <w:vAlign w:val="bottom"/>
          </w:tcPr>
          <w:p>
            <w:pPr>
              <w:ind w:left="140"/>
              <w:spacing w:after="0"/>
              <w:rPr>
                <w:sz w:val="20"/>
                <w:szCs w:val="20"/>
                <w:color w:val="auto"/>
              </w:rPr>
            </w:pPr>
            <w:r>
              <w:rPr>
                <w:rFonts w:ascii="Arial" w:cs="Arial" w:eastAsia="Arial" w:hAnsi="Arial"/>
                <w:sz w:val="16"/>
                <w:szCs w:val="16"/>
                <w:i w:val="1"/>
                <w:iCs w:val="1"/>
                <w:color w:val="auto"/>
              </w:rPr>
              <w:t>liabilities: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and other payables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3,275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18,864</w:t>
            </w:r>
          </w:p>
        </w:tc>
        <w:tc>
          <w:tcPr>
            <w:tcW w:w="12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22,139</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(15,584)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7,715</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(7,869)</w:t>
            </w:r>
          </w:p>
        </w:tc>
      </w:tr>
      <w:tr>
        <w:trPr>
          <w:trHeight w:val="191"/>
        </w:trPr>
        <w:tc>
          <w:tcPr>
            <w:tcW w:w="3260" w:type="dxa"/>
            <w:vAlign w:val="bottom"/>
            <w:tcBorders>
              <w:top w:val="single" w:sz="8" w:color="CCEEFF"/>
              <w:bottom w:val="single" w:sz="8" w:color="CCEEFF"/>
            </w:tcBorders>
          </w:tcPr>
          <w:p>
            <w:pPr>
              <w:ind w:left="140"/>
              <w:spacing w:after="0"/>
              <w:rPr>
                <w:sz w:val="20"/>
                <w:szCs w:val="20"/>
                <w:color w:val="auto"/>
              </w:rPr>
            </w:pPr>
            <w:r>
              <w:rPr>
                <w:rFonts w:ascii="Arial" w:cs="Arial" w:eastAsia="Arial" w:hAnsi="Arial"/>
                <w:sz w:val="16"/>
                <w:szCs w:val="16"/>
                <w:color w:val="auto"/>
              </w:rPr>
              <w:t>Interest paid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CCEEFF"/>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(1,015</w:t>
            </w:r>
          </w:p>
        </w:tc>
        <w:tc>
          <w:tcPr>
            <w:tcW w:w="240" w:type="dxa"/>
            <w:vAlign w:val="bottom"/>
            <w:tcBorders>
              <w:top w:val="single" w:sz="8" w:color="CCEEFF"/>
              <w:bottom w:val="single" w:sz="8" w:color="CCEEFF"/>
            </w:tcBorders>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(1,015</w:t>
            </w:r>
          </w:p>
        </w:tc>
        <w:tc>
          <w:tcPr>
            <w:tcW w:w="120" w:type="dxa"/>
            <w:vAlign w:val="bottom"/>
            <w:tcBorders>
              <w:top w:val="single" w:sz="8" w:color="CCEEFF"/>
              <w:bottom w:val="single" w:sz="8" w:color="CCEEFF"/>
              <w:right w:val="single" w:sz="8" w:color="auto"/>
            </w:tcBorders>
          </w:tcPr>
          <w:p>
            <w:pPr>
              <w:jc w:val="right"/>
              <w:ind w:right="40"/>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(978</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Borders>
              <w:top w:val="single" w:sz="8" w:color="CCEEFF"/>
              <w:bottom w:val="single" w:sz="8" w:color="CCEEFF"/>
            </w:tcBorders>
          </w:tcPr>
          <w:p>
            <w:pPr>
              <w:jc w:val="right"/>
              <w:ind w:right="20"/>
              <w:spacing w:after="0"/>
              <w:rPr>
                <w:sz w:val="20"/>
                <w:szCs w:val="20"/>
                <w:color w:val="auto"/>
              </w:rPr>
            </w:pPr>
            <w:r>
              <w:rPr>
                <w:rFonts w:ascii="Arial" w:cs="Arial" w:eastAsia="Arial" w:hAnsi="Arial"/>
                <w:sz w:val="8"/>
                <w:szCs w:val="8"/>
                <w:color w:val="auto"/>
                <w:w w:val="73"/>
              </w:rPr>
              <w:t>)</w:t>
            </w:r>
          </w:p>
        </w:tc>
      </w:tr>
      <w:tr>
        <w:trPr>
          <w:trHeight w:val="163"/>
        </w:trPr>
        <w:tc>
          <w:tcPr>
            <w:tcW w:w="3260" w:type="dxa"/>
            <w:vAlign w:val="bottom"/>
            <w:shd w:val="clear" w:color="auto" w:fill="CCEEFF"/>
          </w:tcPr>
          <w:p>
            <w:pPr>
              <w:spacing w:after="0" w:line="163" w:lineRule="exact"/>
              <w:rPr>
                <w:sz w:val="20"/>
                <w:szCs w:val="20"/>
                <w:color w:val="auto"/>
              </w:rPr>
            </w:pPr>
            <w:r>
              <w:rPr>
                <w:rFonts w:ascii="Arial" w:cs="Arial" w:eastAsia="Arial" w:hAnsi="Arial"/>
                <w:sz w:val="16"/>
                <w:szCs w:val="16"/>
                <w:b w:val="1"/>
                <w:bCs w:val="1"/>
                <w:color w:val="auto"/>
              </w:rPr>
              <w:t>Cash flow provided by (used in) operating</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24"/>
        </w:trPr>
        <w:tc>
          <w:tcPr>
            <w:tcW w:w="3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activities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(1,499)</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17,849</w:t>
            </w:r>
          </w:p>
        </w:tc>
        <w:tc>
          <w:tcPr>
            <w:tcW w:w="12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16,350</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27,440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6,737</w:t>
            </w:r>
          </w:p>
        </w:tc>
        <w:tc>
          <w:tcPr>
            <w:tcW w:w="220" w:type="dxa"/>
            <w:vAlign w:val="bottom"/>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34,177</w:t>
            </w:r>
          </w:p>
        </w:tc>
        <w:tc>
          <w:tcPr>
            <w:tcW w:w="100" w:type="dxa"/>
            <w:vAlign w:val="bottom"/>
            <w:shd w:val="clear" w:color="auto" w:fill="CCEEFF"/>
          </w:tcPr>
          <w:p>
            <w:pPr>
              <w:spacing w:after="0"/>
              <w:rPr>
                <w:sz w:val="19"/>
                <w:szCs w:val="19"/>
                <w:color w:val="auto"/>
              </w:rPr>
            </w:pPr>
          </w:p>
        </w:tc>
      </w:tr>
      <w:tr>
        <w:trPr>
          <w:trHeight w:val="191"/>
        </w:trPr>
        <w:tc>
          <w:tcPr>
            <w:tcW w:w="326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75"/>
        </w:trPr>
        <w:tc>
          <w:tcPr>
            <w:tcW w:w="326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Cash flow provided by (used in) investing</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4"/>
        </w:trPr>
        <w:tc>
          <w:tcPr>
            <w:tcW w:w="3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activities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(9,583)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(9,583)</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(6,467)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(6,467)</w:t>
            </w:r>
          </w:p>
        </w:tc>
      </w:tr>
      <w:tr>
        <w:trPr>
          <w:trHeight w:val="191"/>
        </w:trPr>
        <w:tc>
          <w:tcPr>
            <w:tcW w:w="326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Financing activities:</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3260" w:type="dxa"/>
            <w:vAlign w:val="bottom"/>
          </w:tcPr>
          <w:p>
            <w:pPr>
              <w:ind w:left="140"/>
              <w:spacing w:after="0"/>
              <w:rPr>
                <w:sz w:val="20"/>
                <w:szCs w:val="20"/>
                <w:color w:val="auto"/>
              </w:rPr>
            </w:pPr>
            <w:r>
              <w:rPr>
                <w:rFonts w:ascii="Arial" w:cs="Arial" w:eastAsia="Arial" w:hAnsi="Arial"/>
                <w:sz w:val="16"/>
                <w:szCs w:val="16"/>
                <w:color w:val="auto"/>
              </w:rPr>
              <w:t>Proceeds from borrowings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94,744</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596</w:t>
            </w:r>
          </w:p>
        </w:tc>
        <w:tc>
          <w:tcPr>
            <w:tcW w:w="12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95,340</w:t>
            </w:r>
          </w:p>
        </w:tc>
        <w:tc>
          <w:tcPr>
            <w:tcW w:w="10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55,538</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55,538</w:t>
            </w:r>
          </w:p>
        </w:tc>
        <w:tc>
          <w:tcPr>
            <w:tcW w:w="100" w:type="dxa"/>
            <w:vAlign w:val="bottom"/>
          </w:tcPr>
          <w:p>
            <w:pPr>
              <w:spacing w:after="0"/>
              <w:rPr>
                <w:sz w:val="16"/>
                <w:szCs w:val="16"/>
                <w:color w:val="auto"/>
              </w:rPr>
            </w:pPr>
          </w:p>
        </w:tc>
      </w:tr>
      <w:tr>
        <w:trPr>
          <w:trHeight w:val="223"/>
        </w:trPr>
        <w:tc>
          <w:tcPr>
            <w:tcW w:w="3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borrowings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(56,640)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(18,445)</w:t>
            </w:r>
          </w:p>
        </w:tc>
        <w:tc>
          <w:tcPr>
            <w:tcW w:w="12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(75,085)</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(47,734)</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(6,737)</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(54,471)</w:t>
            </w:r>
          </w:p>
        </w:tc>
      </w:tr>
      <w:tr>
        <w:trPr>
          <w:trHeight w:val="147"/>
        </w:trPr>
        <w:tc>
          <w:tcPr>
            <w:tcW w:w="3260" w:type="dxa"/>
            <w:vAlign w:val="bottom"/>
            <w:tcBorders>
              <w:top w:val="single" w:sz="8" w:color="CCEEFF"/>
            </w:tcBorders>
          </w:tcPr>
          <w:p>
            <w:pPr>
              <w:spacing w:after="0" w:line="147" w:lineRule="exact"/>
              <w:rPr>
                <w:sz w:val="20"/>
                <w:szCs w:val="20"/>
                <w:color w:val="auto"/>
              </w:rPr>
            </w:pPr>
            <w:r>
              <w:rPr>
                <w:rFonts w:ascii="Arial" w:cs="Arial" w:eastAsia="Arial" w:hAnsi="Arial"/>
                <w:sz w:val="16"/>
                <w:szCs w:val="16"/>
                <w:b w:val="1"/>
                <w:bCs w:val="1"/>
                <w:color w:val="auto"/>
                <w:w w:val="93"/>
              </w:rPr>
              <w:t>Cash Flow generated from (used in) financing</w:t>
            </w: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20"/>
        </w:trPr>
        <w:tc>
          <w:tcPr>
            <w:tcW w:w="3260" w:type="dxa"/>
            <w:vAlign w:val="bottom"/>
          </w:tcPr>
          <w:p>
            <w:pPr>
              <w:ind w:left="140"/>
              <w:spacing w:after="0"/>
              <w:rPr>
                <w:sz w:val="20"/>
                <w:szCs w:val="20"/>
                <w:color w:val="auto"/>
              </w:rPr>
            </w:pPr>
            <w:r>
              <w:rPr>
                <w:rFonts w:ascii="Arial" w:cs="Arial" w:eastAsia="Arial" w:hAnsi="Arial"/>
                <w:sz w:val="16"/>
                <w:szCs w:val="16"/>
                <w:b w:val="1"/>
                <w:bCs w:val="1"/>
                <w:color w:val="auto"/>
              </w:rPr>
              <w:t>activities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26,636</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(17,849)</w:t>
            </w:r>
          </w:p>
        </w:tc>
        <w:tc>
          <w:tcPr>
            <w:tcW w:w="12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8,787</w:t>
            </w: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(6,162)</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(6,737)</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(12,899)</w:t>
            </w:r>
          </w:p>
        </w:tc>
      </w:tr>
      <w:tr>
        <w:trPr>
          <w:trHeight w:val="24"/>
        </w:trPr>
        <w:tc>
          <w:tcPr>
            <w:tcW w:w="3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79" w:lineRule="exact"/>
        <w:rPr>
          <w:sz w:val="20"/>
          <w:szCs w:val="20"/>
          <w:color w:val="auto"/>
        </w:rPr>
      </w:pPr>
    </w:p>
    <w:p>
      <w:pPr>
        <w:ind w:left="284" w:hanging="284"/>
        <w:spacing w:after="0" w:line="275" w:lineRule="auto"/>
        <w:tabs>
          <w:tab w:leader="none" w:pos="284"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restatement adjustment related to trade and other payables consist of errors related to reverse factoring of $17,549 thousand, factoring of $300 thousand and interest paid on lease liabilities of $1,015 thousand.</w:t>
      </w:r>
    </w:p>
    <w:p>
      <w:pPr>
        <w:spacing w:after="0" w:line="151" w:lineRule="exact"/>
        <w:rPr>
          <w:rFonts w:ascii="Arial" w:cs="Arial" w:eastAsia="Arial" w:hAnsi="Arial"/>
          <w:sz w:val="16"/>
          <w:szCs w:val="16"/>
          <w:color w:val="auto"/>
        </w:rPr>
      </w:pPr>
    </w:p>
    <w:p>
      <w:pPr>
        <w:ind w:left="284" w:hanging="284"/>
        <w:spacing w:after="0" w:line="275" w:lineRule="auto"/>
        <w:tabs>
          <w:tab w:leader="none" w:pos="284"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restatement adjustment related to trade and other payables consist of errors related to reverse factoring of $6,737 thousand and interest paid on lease liabilities of $978 thousand.</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 Goodwill</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Goodwill arising from the acquisition of a business is recorded at cost at the acquisition date, less accumulated impairment losses, if any.</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Goodwill is stated at cost and not amortized but is tested for impairment on an annual basis and whenever there is an indicator that the cash-generating unit to which goodwill has been allocated may be impaired.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3.1.1 Goodwill impairment</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Goodwill is tested for impairment annually at the cash-generating unit level, which is the level at which the assets generate largely independent cash inflows and are monitored for internal management purposes. An impairment loss is recognized whenever the carrying amount of an asset or the related cash-generating unit exceeds its recoverable amount. Impairment losses are recognized in the consolidated statements of profit or loss.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Impairment losses recognized for cash-generating units first reduce allocated goodwill and then the carrying amounts of the other assets in the unit on a pro rata basis.</w:t>
      </w:r>
    </w:p>
    <w:p>
      <w:pPr>
        <w:spacing w:after="0" w:line="21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Refer to Note 12. Goodwill and Note 4. Critical accounting judgements and key sources of estimation uncertainty or further information on the goodwill exposure and estimates applied,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3.2. Transactions in foreign currency</w:t>
      </w:r>
    </w:p>
    <w:p>
      <w:pPr>
        <w:spacing w:after="0" w:line="202"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When preparing the financial statements of the individual underlying entities of the Group, transactions in a currency other than the functional currency of the entity (“foreign currency”) are recorded using the exchange rates in effect on the transaction date. At the end of each reporting period, monetary items denominated in a foreign currency are reconverted at the exchange rates prevailing at that date. Non-monetary items calculated in terms of historical cost, in foreign currency, have not been reconverted.</w:t>
      </w:r>
    </w:p>
    <w:p>
      <w:pPr>
        <w:spacing w:after="0" w:line="12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For purposes of presenting the consolidated financial statements, the assets and liabilities of the Group’s foreign currency transactions are expressed in USD, using the exchange rates prevailing at the end of the respective reporting period. Revenues and expenses are translated at the average exchange rates for the respective period. The exchange differences that arise, if applicable, are recognized through other comprehensive income and are accumulated in equity (attributed to the non-controlling interests when appropriate).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3.3. Leases - Right-of-use assets &amp; lease liabilities</w:t>
      </w:r>
    </w:p>
    <w:p>
      <w:pPr>
        <w:spacing w:after="0" w:line="202"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The Group assesses whether a contract is or contains a lease at inception of a contract. The Group recognizes a right-of-use asset and a corresponding lease liability with respect to all lease agreements in which it is the lessee, except for short-term leases (defined as leases with a lease term of 12 months or less) and leases of low value assets (defined as assets with a value less than $5,000). For these leases, the Group recognizes the lease payments as an operating expense on a straight-line basis over the term of the lease, and payments for these leases are presented in the combined statements of cash flows from operating activities.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The right-of-use assets comprise the initial measurement of the corresponding lease liability, lease payments made at or before the commencement date and any initial direct costs. They are subsequently measured at cost less accumulated depreciation and impairment losses. The right-of-use assets are depreciated starting at the commencement date and over the shorter period of useful life of the underlying asset (in the case the lease transfers ownership of the underlying asset to the Group by the end of the lease term or cost of the right-of-use assert reflects that the Group will exercise a purchase option) and lease term.</w:t>
      </w:r>
    </w:p>
    <w:p>
      <w:pPr>
        <w:spacing w:after="0" w:line="151"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The lease liability is initially measured at the present value of the lease payments that are not paid at the commencement date, discounted by using the interest rate implicit in the lease. If this rate cannot be readily determined, the Group uses its incremental borrowing rate specific to the country, term and currency of the contract. In addition, the Group considers its recent indebtedness as well as publicly available data for instruments with similar characteristics when calculating the incremental borrowing rates.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Lease payments include fixed payments, less any lease incentives, variable lease payments that depend on an index or a rate known at the commencement date, and purchase options or extension option payments if the Group is reasonably certain to exercise these options. Variable lease payments that do not depend on an index or rate are not included in the measurement of the lease liability and right-of-use asset and are recognized as an expense in the combined income statements in the year/period in which the event or condition that triggers those payments occurs.</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 lease liability is remeasured upon a change in the lease term, changes in an index or rate used to determine the lease payments or reassessment of exercise of a purchase option. The corresponding adjustment is made to the related right-of-use asset.</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lease liability is presented in the ‘Borrowings’ line and the right-of-use assets are presented in a single line in the consolidated balance sheet. In addition, the principal portion of the lease payments is presented within financial activities and the interest component is presented within operating activities in the consolidated statements of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3.4. Financial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liabilities are recognized when an entity of the Group becomes party to the contractual provisions of an instrument.</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Financial assets and liabilities are initially measured at fair value. Transaction costs that are directly attributable to the acquisition or issue of financial assets and liabilities (other than those designated at fair value through profit or loss) are added to or deducted from the fair value of the financial assets or liabilities, when appropriate, at initial recognition. Transaction costs directly attributable to the acquisition of financial assets or liabilities designated at fair value through profit or loss are recognized immediately through profit or loss.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3.4.1 Classification of financial assets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If and when applicable the Company follows the framework and requirements outlined in IFRS 9 to classify financial assets based on whether:</w:t>
      </w:r>
    </w:p>
    <w:p>
      <w:pPr>
        <w:spacing w:after="0" w:line="198" w:lineRule="exact"/>
        <w:rPr>
          <w:sz w:val="20"/>
          <w:szCs w:val="20"/>
          <w:color w:val="auto"/>
        </w:rPr>
      </w:pPr>
    </w:p>
    <w:p>
      <w:pPr>
        <w:ind w:left="560" w:right="20" w:hanging="278"/>
        <w:spacing w:after="0" w:line="275" w:lineRule="auto"/>
        <w:tabs>
          <w:tab w:leader="none" w:pos="5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financial asset is held within a business model whose objective is to collect contractual cash flows or whose objective is achieved through the collection of contractual cash flows and the sale of financial assets; and</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contractual terms give rise to cash flows that are only payments of principal and interest.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 default, all other financial assets are subsequently measured at fair value through profit or loss.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Trade receivables are amounts due from customers for goods sold or services performed in the ordinary course of business. They are generally due for settlement within 30 days and are therefore all classified as current. Trade receivables are recognized initially at the amount of consideration that is unconditional, unless they contain significant financing components, when they are recognized at fair value. The Group holds the trade receivables with the objective of collecting the contractual cash flows and therefore measures them subsequently at amortized cost using the effective interest method.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3.4.2 Gains and losses in foreign currency</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Trade receivables denominated in a currency other than the subsidiaries’ functional currency is determined in that foreign currency and converted to the subsidiaries’ functional currency at the end of each reporting period using the then prevailing spot rate. Exchange differences are recognized through profit or loss and are classified within other expenses.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3.4.3 Impairment of financial assets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Group recognizes a provision for expected credit losses on trade and other receivables.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 applies the ‘simplified’ approach as required by IFRS 9 since generally the Group’s trade receivables do not include a significant financing component. The Group therefore recognizes the lifetime expected credit losses over the life of the trade and other receivables.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Other receivables are generally assessed individually and a lifetime expected credit loss is estimated based on the receivable and debtor specific facts and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3.4.4 Definition of default</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 considers that an event of default has occurred when more than 50% of the customers trade receivable balance is more than 90 days overdue, unless there is reasonable and supportable information to demonstrate that such default is not in existence.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3.4.5 Impaired trade receivables</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 financial asset has been impaired when one or more events have occurred that have a negative impact on the estimated future cash flows of the trade receivable. The evidence of credit impairment includes observable data on the following events:</w:t>
      </w:r>
    </w:p>
    <w:p>
      <w:pPr>
        <w:spacing w:after="0" w:line="152" w:lineRule="exact"/>
        <w:rPr>
          <w:sz w:val="20"/>
          <w:szCs w:val="20"/>
          <w:color w:val="auto"/>
        </w:rPr>
      </w:pPr>
    </w:p>
    <w:p>
      <w:pPr>
        <w:ind w:left="560" w:hanging="278"/>
        <w:spacing w:after="0"/>
        <w:tabs>
          <w:tab w:leader="none" w:pos="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significant financial difficulty of the customer;</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customer enters into or is likely to enter into bankruptcy;</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breach of contract, such as an expired event;</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for economic or contractual reasons one or more concessions have been granted.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3.4.6 Measurement of impairment</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expected credit losses on trade receivables are estimated using a methodology where a probability of default is estimated based on historical information, adjusted for current and forecasted economic conditions, if applicable. If applicable and significant, the Group may adjust the provision based on a probability weighing of various scenarios and factors in the time value of money:</w:t>
      </w:r>
    </w:p>
    <w:p>
      <w:pPr>
        <w:spacing w:after="0" w:line="162" w:lineRule="exact"/>
        <w:rPr>
          <w:sz w:val="20"/>
          <w:szCs w:val="20"/>
          <w:color w:val="auto"/>
        </w:rPr>
      </w:pPr>
    </w:p>
    <w:p>
      <w:pPr>
        <w:ind w:left="560" w:right="20" w:hanging="278"/>
        <w:spacing w:after="0" w:line="275" w:lineRule="auto"/>
        <w:tabs>
          <w:tab w:leader="none" w:pos="5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Probability of default (‘PD’): The PD is derived by analyzing a rolling dataset of twenty-four months in which trade receivables are tracked and analyzed as they move through the aging buckets.</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75"/>
        </w:numPr>
        <w:rPr>
          <w:rFonts w:ascii="Arial" w:cs="Arial" w:eastAsia="Arial" w:hAnsi="Arial"/>
          <w:sz w:val="16"/>
          <w:szCs w:val="16"/>
          <w:i w:val="1"/>
          <w:iCs w:val="1"/>
          <w:color w:val="auto"/>
        </w:rPr>
      </w:pPr>
      <w:r>
        <w:rPr>
          <w:rFonts w:ascii="Arial" w:cs="Arial" w:eastAsia="Arial" w:hAnsi="Arial"/>
          <w:sz w:val="16"/>
          <w:szCs w:val="16"/>
          <w:color w:val="auto"/>
        </w:rPr>
        <w:t>Loss given default: The Group typically defines the loss given default to be one hundred percent.</w:t>
      </w:r>
    </w:p>
    <w:p>
      <w:pPr>
        <w:spacing w:after="0" w:line="198" w:lineRule="exact"/>
        <w:rPr>
          <w:rFonts w:ascii="Arial" w:cs="Arial" w:eastAsia="Arial" w:hAnsi="Arial"/>
          <w:sz w:val="16"/>
          <w:szCs w:val="16"/>
          <w:i w:val="1"/>
          <w:iCs w:val="1"/>
          <w:color w:val="auto"/>
        </w:rPr>
      </w:pPr>
    </w:p>
    <w:p>
      <w:pPr>
        <w:ind w:left="560" w:hanging="278"/>
        <w:spacing w:after="0"/>
        <w:tabs>
          <w:tab w:leader="none" w:pos="560" w:val="left"/>
        </w:tabs>
        <w:numPr>
          <w:ilvl w:val="0"/>
          <w:numId w:val="75"/>
        </w:numPr>
        <w:rPr>
          <w:rFonts w:ascii="Arial" w:cs="Arial" w:eastAsia="Arial" w:hAnsi="Arial"/>
          <w:sz w:val="16"/>
          <w:szCs w:val="16"/>
          <w:i w:val="1"/>
          <w:iCs w:val="1"/>
          <w:color w:val="auto"/>
        </w:rPr>
      </w:pPr>
      <w:r>
        <w:rPr>
          <w:rFonts w:ascii="Arial" w:cs="Arial" w:eastAsia="Arial" w:hAnsi="Arial"/>
          <w:sz w:val="16"/>
          <w:szCs w:val="16"/>
          <w:color w:val="auto"/>
        </w:rPr>
        <w:t>Exposure at default: The trade receivable balance as of the reporting date, net of advances and credit notes.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of the reporting dates presented, the Group has not deemed these to be significant.</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Group estimates the probability of default at the pool level and then applies such pool level PD to the trade receivables within that pool. The Group generally defines each pool within its main subsidiaries as:</w:t>
      </w:r>
    </w:p>
    <w:p>
      <w:pPr>
        <w:spacing w:after="0" w:line="152" w:lineRule="exact"/>
        <w:rPr>
          <w:sz w:val="20"/>
          <w:szCs w:val="20"/>
          <w:color w:val="auto"/>
        </w:rPr>
      </w:pPr>
    </w:p>
    <w:p>
      <w:pPr>
        <w:ind w:left="560" w:hanging="278"/>
        <w:spacing w:after="0"/>
        <w:tabs>
          <w:tab w:leader="none" w:pos="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Domestic</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Export</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Government</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Related parties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Group recognizes an impairment loss or gain in the aggregate for all trade receivables as a provision with corresponding amount recognized in </w:t>
      </w:r>
      <w:r>
        <w:rPr>
          <w:rFonts w:ascii="Arial" w:cs="Arial" w:eastAsia="Arial" w:hAnsi="Arial"/>
          <w:sz w:val="14"/>
          <w:szCs w:val="14"/>
          <w:i w:val="1"/>
          <w:iCs w:val="1"/>
          <w:color w:val="auto"/>
        </w:rPr>
        <w:t>Administrative expenses</w:t>
      </w:r>
      <w:r>
        <w:rPr>
          <w:rFonts w:ascii="Arial" w:cs="Arial" w:eastAsia="Arial" w:hAnsi="Arial"/>
          <w:sz w:val="14"/>
          <w:szCs w:val="14"/>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Group writes-off individual trade receivables when uncollected when they become 365 days past due.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3.4.7 Derecognition of financial assets</w:t>
      </w:r>
    </w:p>
    <w:p>
      <w:pPr>
        <w:spacing w:after="0" w:line="198" w:lineRule="exact"/>
        <w:rPr>
          <w:sz w:val="20"/>
          <w:szCs w:val="20"/>
          <w:color w:val="auto"/>
        </w:rPr>
      </w:pPr>
    </w:p>
    <w:p>
      <w:pPr>
        <w:jc w:val="both"/>
        <w:ind w:right="20"/>
        <w:spacing w:after="0" w:line="306" w:lineRule="auto"/>
        <w:rPr>
          <w:sz w:val="20"/>
          <w:szCs w:val="20"/>
          <w:color w:val="auto"/>
        </w:rPr>
      </w:pPr>
      <w:r>
        <w:rPr>
          <w:rFonts w:ascii="Arial" w:cs="Arial" w:eastAsia="Arial" w:hAnsi="Arial"/>
          <w:sz w:val="14"/>
          <w:szCs w:val="14"/>
          <w:color w:val="auto"/>
        </w:rPr>
        <w:t>The Group derecognizes a financial asset only when the contractual rights to the asset’s cash flows expire, or when it transfers the financial asset and substantially all the risks and rewards of ownership of the asset to another party. If the Group does not transfer or retain substantially all risks and rewards of ownership and continues to control the transferred asset, the Group recognizes its interest retained in the asset and an associated liability for the amounts to be paid. If the Group retains substantially all the risks and rewards of ownership of a transferred financial asset, the Group continues to recognize the financial asset and also recognizes a loan secured by the revenue received.</w:t>
      </w:r>
    </w:p>
    <w:p>
      <w:pPr>
        <w:spacing w:after="0" w:line="13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Upon derecognition of a financial asset measured at amortized cost, the difference between the carrying amount of the asset and the sum of the consideration received and receivable is recognized through profit or loss.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Group also derecognizes a financial asset when there is information which indicates that the counterparty is in serious financial difficulty and there is no realistic prospect of recovery. The derecognized financial assets may still be subject to compliance activities in accordance with the Group’s recovery procedures, taking into account legal advice when appropriate. Any recovery is recognized through profit or loss.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 Factoring</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 xml:space="preserve">As part of the regular business and in case of immediate cash needs, the Group could sell its accounts receivable (i.e., invoices) to a third party (factor) at a discount. The Group analyzes whether these transactions are </w:t>
      </w:r>
      <w:r>
        <w:rPr>
          <w:rFonts w:ascii="Arial" w:cs="Arial" w:eastAsia="Arial" w:hAnsi="Arial"/>
          <w:sz w:val="16"/>
          <w:szCs w:val="16"/>
          <w:i w:val="1"/>
          <w:iCs w:val="1"/>
          <w:color w:val="auto"/>
        </w:rPr>
        <w:t>with recourse</w:t>
      </w:r>
      <w:r>
        <w:rPr>
          <w:rFonts w:ascii="Arial" w:cs="Arial" w:eastAsia="Arial" w:hAnsi="Arial"/>
          <w:sz w:val="16"/>
          <w:szCs w:val="16"/>
          <w:color w:val="auto"/>
        </w:rPr>
        <w:t xml:space="preserve"> or </w:t>
      </w:r>
      <w:r>
        <w:rPr>
          <w:rFonts w:ascii="Arial" w:cs="Arial" w:eastAsia="Arial" w:hAnsi="Arial"/>
          <w:sz w:val="16"/>
          <w:szCs w:val="16"/>
          <w:i w:val="1"/>
          <w:iCs w:val="1"/>
          <w:color w:val="auto"/>
        </w:rPr>
        <w:t>without recourse</w:t>
      </w:r>
      <w:r>
        <w:rPr>
          <w:rFonts w:ascii="Arial" w:cs="Arial" w:eastAsia="Arial" w:hAnsi="Arial"/>
          <w:sz w:val="16"/>
          <w:szCs w:val="16"/>
          <w:color w:val="auto"/>
        </w:rPr>
        <w:t xml:space="preserve"> and applies the recognition criteria in IFRS 9 to assess whether the arrangement transfers substantially all risks and rewards to the factor. For arrangements </w:t>
      </w:r>
      <w:r>
        <w:rPr>
          <w:rFonts w:ascii="Arial" w:cs="Arial" w:eastAsia="Arial" w:hAnsi="Arial"/>
          <w:sz w:val="16"/>
          <w:szCs w:val="16"/>
          <w:i w:val="1"/>
          <w:iCs w:val="1"/>
          <w:color w:val="auto"/>
        </w:rPr>
        <w:t>with recourse,</w:t>
      </w:r>
      <w:r>
        <w:rPr>
          <w:rFonts w:ascii="Arial" w:cs="Arial" w:eastAsia="Arial" w:hAnsi="Arial"/>
          <w:sz w:val="16"/>
          <w:szCs w:val="16"/>
          <w:color w:val="auto"/>
        </w:rPr>
        <w:t xml:space="preserve"> where substantially all risks and rewards have not been transferred, the cash received from the factor is accounted for as a secured borrowing.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3.5. Inventories, net</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Inventories are presented at the lower of acquisition cost or net realizable value. Cost is determined by the weighted average method. The net realizable value represents the estimated sale price less all the estimated termination and selling costs. The cost of finished products and products in progress includes the costs of raw materials, direct labor, other direct costs and the respective direct production expenses (based on normal operating capacity), excluding borrowing costs. Inventories are presented net of the allowances for obsolescence and, in consolidation, net of eliminations of unrealized profit on inventories.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3.6. Property, plant and equipment, net</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Property, plant and equipment assets are measured at historical cost less accumulated depreciation and any impairment loss, except for those acquired in a business combination, which are then recorded at fair value; assets under construction and land are not depreciated. The cost of the property, plant and equipment is the fair value of the consideration initially provided to acquire or construct the item and prepare it for use. Subsequent costs incurred for repair and maintenance, are expensed in the consolidated statements of comprehensive income unless these costs meet the criteria for capitalization (i.e. extension of the useful life). Depreciation commences when the assets are ready for use.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depreciated based on the straight-line method over estimated useful lives.</w:t>
      </w:r>
    </w:p>
    <w:p>
      <w:pPr>
        <w:spacing w:after="0" w:line="198"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An item of property, plant and equipment will be derecognized upon disposal or when future economic benefits from the continued use of the asset are no longer expected. The gain or loss arising from the derecognition is measured as the difference between the gain on sale and the carrying amount of the asset and is recognized through profit or loss.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91"/>
        </w:trPr>
        <w:tc>
          <w:tcPr>
            <w:tcW w:w="3440" w:type="dxa"/>
            <w:vAlign w:val="bottom"/>
          </w:tcPr>
          <w:p>
            <w:pPr>
              <w:spacing w:after="0"/>
              <w:rPr>
                <w:sz w:val="16"/>
                <w:szCs w:val="16"/>
                <w:color w:val="auto"/>
              </w:rPr>
            </w:pPr>
          </w:p>
        </w:tc>
        <w:tc>
          <w:tcPr>
            <w:tcW w:w="7820" w:type="dxa"/>
            <w:vAlign w:val="bottom"/>
          </w:tcPr>
          <w:p>
            <w:pPr>
              <w:jc w:val="center"/>
              <w:ind w:right="3380"/>
              <w:spacing w:after="0"/>
              <w:rPr>
                <w:sz w:val="20"/>
                <w:szCs w:val="20"/>
                <w:color w:val="auto"/>
              </w:rPr>
            </w:pPr>
            <w:r>
              <w:rPr>
                <w:rFonts w:ascii="Arial" w:cs="Arial" w:eastAsia="Arial" w:hAnsi="Arial"/>
                <w:sz w:val="16"/>
                <w:szCs w:val="16"/>
                <w:b w:val="1"/>
                <w:bCs w:val="1"/>
                <w:color w:val="auto"/>
                <w:w w:val="89"/>
              </w:rPr>
              <w:t>Procaps Group S.A. and subsidiaries (The Group)</w:t>
            </w:r>
          </w:p>
        </w:tc>
      </w:tr>
      <w:tr>
        <w:trPr>
          <w:trHeight w:val="191"/>
        </w:trPr>
        <w:tc>
          <w:tcPr>
            <w:tcW w:w="3440" w:type="dxa"/>
            <w:vAlign w:val="bottom"/>
          </w:tcPr>
          <w:p>
            <w:pPr>
              <w:spacing w:after="0"/>
              <w:rPr>
                <w:sz w:val="16"/>
                <w:szCs w:val="16"/>
                <w:color w:val="auto"/>
              </w:rPr>
            </w:pPr>
          </w:p>
        </w:tc>
        <w:tc>
          <w:tcPr>
            <w:tcW w:w="7820" w:type="dxa"/>
            <w:vAlign w:val="bottom"/>
          </w:tcPr>
          <w:p>
            <w:pPr>
              <w:jc w:val="center"/>
              <w:ind w:right="3380"/>
              <w:spacing w:after="0"/>
              <w:rPr>
                <w:sz w:val="20"/>
                <w:szCs w:val="20"/>
                <w:color w:val="auto"/>
              </w:rPr>
            </w:pPr>
            <w:r>
              <w:rPr>
                <w:rFonts w:ascii="Arial" w:cs="Arial" w:eastAsia="Arial" w:hAnsi="Arial"/>
                <w:sz w:val="16"/>
                <w:szCs w:val="16"/>
                <w:b w:val="1"/>
                <w:bCs w:val="1"/>
                <w:color w:val="auto"/>
                <w:w w:val="88"/>
              </w:rPr>
              <w:t>Notes to Consolidated Financial Statements</w:t>
            </w:r>
          </w:p>
        </w:tc>
      </w:tr>
      <w:tr>
        <w:trPr>
          <w:trHeight w:val="191"/>
        </w:trPr>
        <w:tc>
          <w:tcPr>
            <w:tcW w:w="3440" w:type="dxa"/>
            <w:vAlign w:val="bottom"/>
          </w:tcPr>
          <w:p>
            <w:pPr>
              <w:spacing w:after="0"/>
              <w:rPr>
                <w:sz w:val="16"/>
                <w:szCs w:val="16"/>
                <w:color w:val="auto"/>
              </w:rPr>
            </w:pPr>
          </w:p>
        </w:tc>
        <w:tc>
          <w:tcPr>
            <w:tcW w:w="7820" w:type="dxa"/>
            <w:vAlign w:val="bottom"/>
          </w:tcPr>
          <w:p>
            <w:pPr>
              <w:jc w:val="center"/>
              <w:ind w:right="3380"/>
              <w:spacing w:after="0"/>
              <w:rPr>
                <w:sz w:val="20"/>
                <w:szCs w:val="20"/>
                <w:color w:val="auto"/>
              </w:rPr>
            </w:pPr>
            <w:r>
              <w:rPr>
                <w:rFonts w:ascii="Arial" w:cs="Arial" w:eastAsia="Arial" w:hAnsi="Arial"/>
                <w:sz w:val="16"/>
                <w:szCs w:val="16"/>
                <w:b w:val="1"/>
                <w:bCs w:val="1"/>
                <w:color w:val="auto"/>
                <w:w w:val="88"/>
              </w:rPr>
              <w:t>For the years ended December 31, 2021, 2020 and 2019</w:t>
            </w:r>
          </w:p>
        </w:tc>
      </w:tr>
      <w:tr>
        <w:trPr>
          <w:trHeight w:val="208"/>
        </w:trPr>
        <w:tc>
          <w:tcPr>
            <w:tcW w:w="3440" w:type="dxa"/>
            <w:vAlign w:val="bottom"/>
          </w:tcPr>
          <w:p>
            <w:pPr>
              <w:spacing w:after="0"/>
              <w:rPr>
                <w:sz w:val="18"/>
                <w:szCs w:val="18"/>
                <w:color w:val="auto"/>
              </w:rPr>
            </w:pPr>
          </w:p>
        </w:tc>
        <w:tc>
          <w:tcPr>
            <w:tcW w:w="7820" w:type="dxa"/>
            <w:vAlign w:val="bottom"/>
          </w:tcPr>
          <w:p>
            <w:pPr>
              <w:jc w:val="center"/>
              <w:ind w:right="3380"/>
              <w:spacing w:after="0"/>
              <w:rPr>
                <w:sz w:val="20"/>
                <w:szCs w:val="20"/>
                <w:color w:val="auto"/>
              </w:rPr>
            </w:pPr>
            <w:r>
              <w:rPr>
                <w:rFonts w:ascii="Arial" w:cs="Arial" w:eastAsia="Arial" w:hAnsi="Arial"/>
                <w:sz w:val="16"/>
                <w:szCs w:val="16"/>
                <w:b w:val="1"/>
                <w:bCs w:val="1"/>
                <w:color w:val="auto"/>
                <w:w w:val="88"/>
              </w:rPr>
              <w:t>(In thousands of United States Dollars, unless otherwise stated)</w:t>
            </w:r>
          </w:p>
        </w:tc>
      </w:tr>
      <w:tr>
        <w:trPr>
          <w:trHeight w:val="382"/>
        </w:trPr>
        <w:tc>
          <w:tcPr>
            <w:tcW w:w="3440" w:type="dxa"/>
            <w:vAlign w:val="bottom"/>
          </w:tcPr>
          <w:p>
            <w:pPr>
              <w:spacing w:after="0"/>
              <w:rPr>
                <w:sz w:val="20"/>
                <w:szCs w:val="20"/>
                <w:color w:val="auto"/>
              </w:rPr>
            </w:pPr>
            <w:r>
              <w:rPr>
                <w:rFonts w:ascii="Arial" w:cs="Arial" w:eastAsia="Arial" w:hAnsi="Arial"/>
                <w:sz w:val="16"/>
                <w:szCs w:val="16"/>
                <w:color w:val="auto"/>
                <w:w w:val="90"/>
              </w:rPr>
              <w:t>The useful lives of property, plant and equipment are:</w:t>
            </w:r>
          </w:p>
        </w:tc>
        <w:tc>
          <w:tcPr>
            <w:tcW w:w="7820" w:type="dxa"/>
            <w:vAlign w:val="bottom"/>
          </w:tcPr>
          <w:p>
            <w:pPr>
              <w:spacing w:after="0"/>
              <w:rPr>
                <w:sz w:val="24"/>
                <w:szCs w:val="24"/>
                <w:color w:val="auto"/>
              </w:rPr>
            </w:pPr>
          </w:p>
        </w:tc>
      </w:tr>
      <w:tr>
        <w:trPr>
          <w:trHeight w:val="191"/>
        </w:trPr>
        <w:tc>
          <w:tcPr>
            <w:tcW w:w="3440" w:type="dxa"/>
            <w:vAlign w:val="bottom"/>
          </w:tcPr>
          <w:p>
            <w:pPr>
              <w:spacing w:after="0"/>
              <w:rPr>
                <w:sz w:val="16"/>
                <w:szCs w:val="16"/>
                <w:color w:val="auto"/>
              </w:rPr>
            </w:pPr>
          </w:p>
        </w:tc>
        <w:tc>
          <w:tcPr>
            <w:tcW w:w="7820" w:type="dxa"/>
            <w:vAlign w:val="bottom"/>
          </w:tcPr>
          <w:p>
            <w:pPr>
              <w:spacing w:after="0"/>
              <w:rPr>
                <w:sz w:val="16"/>
                <w:szCs w:val="16"/>
                <w:color w:val="auto"/>
              </w:rPr>
            </w:pPr>
          </w:p>
        </w:tc>
      </w:tr>
      <w:tr>
        <w:trPr>
          <w:trHeight w:val="191"/>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Buildings</w:t>
            </w:r>
          </w:p>
        </w:tc>
        <w:tc>
          <w:tcPr>
            <w:tcW w:w="7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20 - 40 years</w:t>
            </w:r>
          </w:p>
        </w:tc>
      </w:tr>
      <w:tr>
        <w:trPr>
          <w:trHeight w:val="191"/>
        </w:trPr>
        <w:tc>
          <w:tcPr>
            <w:tcW w:w="3440" w:type="dxa"/>
            <w:vAlign w:val="bottom"/>
          </w:tcPr>
          <w:p>
            <w:pPr>
              <w:spacing w:after="0"/>
              <w:rPr>
                <w:sz w:val="20"/>
                <w:szCs w:val="20"/>
                <w:color w:val="auto"/>
              </w:rPr>
            </w:pPr>
            <w:r>
              <w:rPr>
                <w:rFonts w:ascii="Arial" w:cs="Arial" w:eastAsia="Arial" w:hAnsi="Arial"/>
                <w:sz w:val="16"/>
                <w:szCs w:val="16"/>
                <w:color w:val="auto"/>
              </w:rPr>
              <w:t>Machinery and equipment</w:t>
            </w:r>
          </w:p>
        </w:tc>
        <w:tc>
          <w:tcPr>
            <w:tcW w:w="7820" w:type="dxa"/>
            <w:vAlign w:val="bottom"/>
          </w:tcPr>
          <w:p>
            <w:pPr>
              <w:jc w:val="right"/>
              <w:ind w:right="40"/>
              <w:spacing w:after="0"/>
              <w:rPr>
                <w:sz w:val="20"/>
                <w:szCs w:val="20"/>
                <w:color w:val="auto"/>
              </w:rPr>
            </w:pPr>
            <w:r>
              <w:rPr>
                <w:rFonts w:ascii="Arial" w:cs="Arial" w:eastAsia="Arial" w:hAnsi="Arial"/>
                <w:sz w:val="16"/>
                <w:szCs w:val="16"/>
                <w:color w:val="auto"/>
              </w:rPr>
              <w:t>10 - 20 years</w:t>
            </w:r>
          </w:p>
        </w:tc>
      </w:tr>
      <w:tr>
        <w:trPr>
          <w:trHeight w:val="191"/>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7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2 - 10 years</w:t>
            </w:r>
          </w:p>
        </w:tc>
      </w:tr>
      <w:tr>
        <w:trPr>
          <w:trHeight w:val="204"/>
        </w:trPr>
        <w:tc>
          <w:tcPr>
            <w:tcW w:w="3440" w:type="dxa"/>
            <w:vAlign w:val="bottom"/>
          </w:tcPr>
          <w:p>
            <w:pPr>
              <w:spacing w:after="0"/>
              <w:rPr>
                <w:sz w:val="20"/>
                <w:szCs w:val="20"/>
                <w:color w:val="auto"/>
              </w:rPr>
            </w:pPr>
            <w:r>
              <w:rPr>
                <w:rFonts w:ascii="Arial" w:cs="Arial" w:eastAsia="Arial" w:hAnsi="Arial"/>
                <w:sz w:val="16"/>
                <w:szCs w:val="16"/>
                <w:color w:val="auto"/>
              </w:rPr>
              <w:t>Other equipment</w:t>
            </w:r>
          </w:p>
        </w:tc>
        <w:tc>
          <w:tcPr>
            <w:tcW w:w="7820" w:type="dxa"/>
            <w:vAlign w:val="bottom"/>
          </w:tcPr>
          <w:p>
            <w:pPr>
              <w:jc w:val="right"/>
              <w:ind w:right="40"/>
              <w:spacing w:after="0"/>
              <w:rPr>
                <w:sz w:val="20"/>
                <w:szCs w:val="20"/>
                <w:color w:val="auto"/>
              </w:rPr>
            </w:pPr>
            <w:r>
              <w:rPr>
                <w:rFonts w:ascii="Arial" w:cs="Arial" w:eastAsia="Arial" w:hAnsi="Arial"/>
                <w:sz w:val="16"/>
                <w:szCs w:val="16"/>
                <w:color w:val="auto"/>
              </w:rPr>
              <w:t>2 - 5 years</w:t>
            </w:r>
          </w:p>
        </w:tc>
      </w:tr>
      <w:tr>
        <w:trPr>
          <w:trHeight w:val="370"/>
        </w:trPr>
        <w:tc>
          <w:tcPr>
            <w:tcW w:w="3440" w:type="dxa"/>
            <w:vAlign w:val="bottom"/>
          </w:tcPr>
          <w:p>
            <w:pPr>
              <w:spacing w:after="0"/>
              <w:rPr>
                <w:sz w:val="20"/>
                <w:szCs w:val="20"/>
                <w:color w:val="auto"/>
              </w:rPr>
            </w:pPr>
            <w:r>
              <w:rPr>
                <w:rFonts w:ascii="Arial" w:cs="Arial" w:eastAsia="Arial" w:hAnsi="Arial"/>
                <w:sz w:val="16"/>
                <w:szCs w:val="16"/>
                <w:b w:val="1"/>
                <w:bCs w:val="1"/>
                <w:color w:val="auto"/>
              </w:rPr>
              <w:t>Note 3.7. Intangible assets</w:t>
            </w:r>
          </w:p>
        </w:tc>
        <w:tc>
          <w:tcPr>
            <w:tcW w:w="7820" w:type="dxa"/>
            <w:vAlign w:val="bottom"/>
          </w:tcPr>
          <w:p>
            <w:pPr>
              <w:spacing w:after="0"/>
              <w:rPr>
                <w:sz w:val="24"/>
                <w:szCs w:val="24"/>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3.7.1 Intangible assets generated internally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Disbursements originated by research activities are recognized as an expense in the period in which they are incurred.</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 intangible asset generated internally as a result of development activities (or the development phase of an internal project) is recognized if, and only if, the following conditions are met:</w:t>
      </w:r>
    </w:p>
    <w:p>
      <w:pPr>
        <w:spacing w:after="0" w:line="152" w:lineRule="exact"/>
        <w:rPr>
          <w:sz w:val="20"/>
          <w:szCs w:val="20"/>
          <w:color w:val="auto"/>
        </w:rPr>
      </w:pPr>
    </w:p>
    <w:p>
      <w:pPr>
        <w:ind w:left="560" w:hanging="278"/>
        <w:spacing w:after="0"/>
        <w:tabs>
          <w:tab w:leader="none" w:pos="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It is commercially and technically feasible to complete the production of the intangible asset so that it can be available for use or sale;</w:t>
      </w:r>
    </w:p>
    <w:p>
      <w:pPr>
        <w:spacing w:after="0" w:line="198"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Management intends to complete the intangible asset in question in order to use or sell it or can demonstrate the way in which the intangible asset will likely generate future economic benefits;</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Adequate technical, financial or other resources are available to complete the development and to use or sell the intangible asset; and</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Group is able to reliably measure the disbursement attributable to the intangible asset during its development.</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expenses incurred in developing new pharmaceutical technologies, combination of active ingredients and formulation improvements, meet the conditions of the previous paragraph, usually from the beginning of pilot batches (completion of the experimental batch stage), at which point management considers that achieving regulatory approval (sanitary registration) is a legal formality.</w:t>
      </w:r>
    </w:p>
    <w:p>
      <w:pPr>
        <w:spacing w:after="0" w:line="16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amount initially recognized for an internally generated intangible asset will be the sum of the disbursements incurred once the element meets the recognition conditions. When an internally generated intangible asset cannot be recognized, development disbursements are charged through profit or loss in the period in which they are incurred. Subsequent to initial recognition, an internally generated intangible asset will be accounted for at cost less accumulated amortization and the accumulated amount of impairment losses, on the same basis as intangible assets that are acquired separately.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3.7.2 Disposal of intangible assets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An intangible asset is written off at the time of its disposal, or when future economic benefits of its use or disposal are not expected. Gains or losses arising from the write-off of an intangible asset, measured as the difference between the net proceeds from the sale and the carrying amount of the asset, are recognized through profit or loss when the asset is written off.</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3.7.3 Impairment of definite-lived tangible and intangible assets and intangibles not yet available for use, and other assets</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At the end of each reporting period, the Group evaluates the carrying amounts of its definite-lived tangible and intangible assets and those intangibles not yet available for use in order to identify any indication that these assets have been impaired. In such a case, the recoverable amount of the asset is calculated in order to determine the extent of the impairment loss (if any). When it is not possible to estimate the recoverable amount of an individual asset, the Group calculates the recoverable amount of the cash generating unit to which the asset belongs. When a reasonable and consistent basis of distribution is identified, the common assets are also allocated to the individual cash generating units or distributed to the smallest group of cash generating units for which a reasonable and consistent distribution base can be identified.</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recoverable amount is the higher of the fair value less disposal costs and the value in use. When estimating the value in use, the estimated future cash flows are discounted to the present value, using a pre-tax discount rate that reflects the current market valuations with respect to the time value of money and the specific risks for the asset for which the future cash flow estimates have not been adjusted.</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If the recoverable amount of an asset (or cash-generating unit) calculated is less than its carrying amount, the carrying amount of the asset (or cash-generating unit) is reduced to its recoverable amount. Impairment losses are recognized immediately through profit or loss. If an impairment loss is subsequently reversed, the carrying amount of the asset (or cash-generating unit) increases to the revised estimated value of its recoverable amount, so that the increased carrying amount does not exceed the carrying amount that would have been calculated if the impairment loss had not been recognized for said asset (or cash-generating unit) in previous years. The reversal of an impairment loss is automatically recognized through profit or loss.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3.7.4 Amortization of internally generated intangibles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Internally generated intangible assets such as licenses, bioequivalence studies, new platforms, tablet improvements, combinations and concentrations, and soft gel capsule improvements, among others, are of finite useful lives and their amortization period will begin only when the following two milestones are met:</w:t>
      </w:r>
    </w:p>
    <w:p>
      <w:pPr>
        <w:spacing w:after="0" w:line="152" w:lineRule="exact"/>
        <w:rPr>
          <w:sz w:val="20"/>
          <w:szCs w:val="20"/>
          <w:color w:val="auto"/>
        </w:rPr>
      </w:pPr>
    </w:p>
    <w:p>
      <w:pPr>
        <w:ind w:left="560" w:hanging="278"/>
        <w:spacing w:after="0"/>
        <w:tabs>
          <w:tab w:leader="none" w:pos="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pre-industrial batch is completed with satisfactory results.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regulatory body approves the corresponding sanitary registration.</w:t>
      </w:r>
    </w:p>
    <w:p>
      <w:pPr>
        <w:spacing w:after="0" w:line="198" w:lineRule="exact"/>
        <w:rPr>
          <w:sz w:val="20"/>
          <w:szCs w:val="20"/>
          <w:color w:val="auto"/>
        </w:rPr>
      </w:pPr>
    </w:p>
    <w:p>
      <w:pPr>
        <w:ind w:right="20"/>
        <w:spacing w:after="0" w:line="349" w:lineRule="auto"/>
        <w:rPr>
          <w:sz w:val="20"/>
          <w:szCs w:val="20"/>
          <w:color w:val="auto"/>
        </w:rPr>
      </w:pPr>
      <w:r>
        <w:rPr>
          <w:rFonts w:ascii="Arial" w:cs="Arial" w:eastAsia="Arial" w:hAnsi="Arial"/>
          <w:sz w:val="14"/>
          <w:szCs w:val="14"/>
          <w:color w:val="auto"/>
        </w:rPr>
        <w:t>When these milestones are met, the capitalized developments will have met the necessary conditions to generate economic benefits in accordance with management’s expectations, so the amortization of the assets begins using the straight-line method through profit or loss during the minimum projected time of generated economic benefits.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amortization will also cease at the earliest of either the date when the asset is classified as held for sale or the date when the asset is derecognized.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91"/>
        </w:trPr>
        <w:tc>
          <w:tcPr>
            <w:tcW w:w="9060" w:type="dxa"/>
            <w:vAlign w:val="bottom"/>
          </w:tcPr>
          <w:p>
            <w:pPr>
              <w:jc w:val="center"/>
              <w:ind w:left="2100"/>
              <w:spacing w:after="0"/>
              <w:rPr>
                <w:sz w:val="20"/>
                <w:szCs w:val="20"/>
                <w:color w:val="auto"/>
              </w:rPr>
            </w:pPr>
            <w:r>
              <w:rPr>
                <w:rFonts w:ascii="Arial" w:cs="Arial" w:eastAsia="Arial" w:hAnsi="Arial"/>
                <w:sz w:val="16"/>
                <w:szCs w:val="16"/>
                <w:b w:val="1"/>
                <w:bCs w:val="1"/>
                <w:color w:val="auto"/>
                <w:w w:val="89"/>
              </w:rPr>
              <w:t>Procaps Group S.A. and subsidiaries (The Group)</w:t>
            </w:r>
          </w:p>
        </w:tc>
        <w:tc>
          <w:tcPr>
            <w:tcW w:w="2200" w:type="dxa"/>
            <w:vAlign w:val="bottom"/>
          </w:tcPr>
          <w:p>
            <w:pPr>
              <w:spacing w:after="0"/>
              <w:rPr>
                <w:sz w:val="16"/>
                <w:szCs w:val="16"/>
                <w:color w:val="auto"/>
              </w:rPr>
            </w:pPr>
          </w:p>
        </w:tc>
      </w:tr>
      <w:tr>
        <w:trPr>
          <w:trHeight w:val="191"/>
        </w:trPr>
        <w:tc>
          <w:tcPr>
            <w:tcW w:w="9060" w:type="dxa"/>
            <w:vAlign w:val="bottom"/>
          </w:tcPr>
          <w:p>
            <w:pPr>
              <w:jc w:val="center"/>
              <w:ind w:left="2100"/>
              <w:spacing w:after="0"/>
              <w:rPr>
                <w:sz w:val="20"/>
                <w:szCs w:val="20"/>
                <w:color w:val="auto"/>
              </w:rPr>
            </w:pPr>
            <w:r>
              <w:rPr>
                <w:rFonts w:ascii="Arial" w:cs="Arial" w:eastAsia="Arial" w:hAnsi="Arial"/>
                <w:sz w:val="16"/>
                <w:szCs w:val="16"/>
                <w:b w:val="1"/>
                <w:bCs w:val="1"/>
                <w:color w:val="auto"/>
                <w:w w:val="88"/>
              </w:rPr>
              <w:t>Notes to Consolidated Financial Statements</w:t>
            </w:r>
          </w:p>
        </w:tc>
        <w:tc>
          <w:tcPr>
            <w:tcW w:w="2200" w:type="dxa"/>
            <w:vAlign w:val="bottom"/>
          </w:tcPr>
          <w:p>
            <w:pPr>
              <w:spacing w:after="0"/>
              <w:rPr>
                <w:sz w:val="16"/>
                <w:szCs w:val="16"/>
                <w:color w:val="auto"/>
              </w:rPr>
            </w:pPr>
          </w:p>
        </w:tc>
      </w:tr>
      <w:tr>
        <w:trPr>
          <w:trHeight w:val="191"/>
        </w:trPr>
        <w:tc>
          <w:tcPr>
            <w:tcW w:w="9060" w:type="dxa"/>
            <w:vAlign w:val="bottom"/>
          </w:tcPr>
          <w:p>
            <w:pPr>
              <w:jc w:val="center"/>
              <w:ind w:left="2100"/>
              <w:spacing w:after="0"/>
              <w:rPr>
                <w:sz w:val="20"/>
                <w:szCs w:val="20"/>
                <w:color w:val="auto"/>
              </w:rPr>
            </w:pPr>
            <w:r>
              <w:rPr>
                <w:rFonts w:ascii="Arial" w:cs="Arial" w:eastAsia="Arial" w:hAnsi="Arial"/>
                <w:sz w:val="16"/>
                <w:szCs w:val="16"/>
                <w:b w:val="1"/>
                <w:bCs w:val="1"/>
                <w:color w:val="auto"/>
                <w:w w:val="88"/>
              </w:rPr>
              <w:t>For the years ended December 31, 2021, 2020 and 2019</w:t>
            </w:r>
          </w:p>
        </w:tc>
        <w:tc>
          <w:tcPr>
            <w:tcW w:w="2200" w:type="dxa"/>
            <w:vAlign w:val="bottom"/>
          </w:tcPr>
          <w:p>
            <w:pPr>
              <w:spacing w:after="0"/>
              <w:rPr>
                <w:sz w:val="16"/>
                <w:szCs w:val="16"/>
                <w:color w:val="auto"/>
              </w:rPr>
            </w:pPr>
          </w:p>
        </w:tc>
      </w:tr>
      <w:tr>
        <w:trPr>
          <w:trHeight w:val="208"/>
        </w:trPr>
        <w:tc>
          <w:tcPr>
            <w:tcW w:w="9060" w:type="dxa"/>
            <w:vAlign w:val="bottom"/>
          </w:tcPr>
          <w:p>
            <w:pPr>
              <w:jc w:val="center"/>
              <w:ind w:left="2100"/>
              <w:spacing w:after="0"/>
              <w:rPr>
                <w:sz w:val="20"/>
                <w:szCs w:val="20"/>
                <w:color w:val="auto"/>
              </w:rPr>
            </w:pPr>
            <w:r>
              <w:rPr>
                <w:rFonts w:ascii="Arial" w:cs="Arial" w:eastAsia="Arial" w:hAnsi="Arial"/>
                <w:sz w:val="16"/>
                <w:szCs w:val="16"/>
                <w:b w:val="1"/>
                <w:bCs w:val="1"/>
                <w:color w:val="auto"/>
                <w:w w:val="88"/>
              </w:rPr>
              <w:t>(In thousands of United States Dollars, unless otherwise stated)</w:t>
            </w:r>
          </w:p>
        </w:tc>
        <w:tc>
          <w:tcPr>
            <w:tcW w:w="2200" w:type="dxa"/>
            <w:vAlign w:val="bottom"/>
          </w:tcPr>
          <w:p>
            <w:pPr>
              <w:spacing w:after="0"/>
              <w:rPr>
                <w:sz w:val="18"/>
                <w:szCs w:val="18"/>
                <w:color w:val="auto"/>
              </w:rPr>
            </w:pPr>
          </w:p>
        </w:tc>
      </w:tr>
      <w:tr>
        <w:trPr>
          <w:trHeight w:val="382"/>
        </w:trPr>
        <w:tc>
          <w:tcPr>
            <w:tcW w:w="9060" w:type="dxa"/>
            <w:vAlign w:val="bottom"/>
          </w:tcPr>
          <w:p>
            <w:pPr>
              <w:spacing w:after="0"/>
              <w:rPr>
                <w:sz w:val="20"/>
                <w:szCs w:val="20"/>
                <w:color w:val="auto"/>
              </w:rPr>
            </w:pPr>
            <w:r>
              <w:rPr>
                <w:rFonts w:ascii="Arial" w:cs="Arial" w:eastAsia="Arial" w:hAnsi="Arial"/>
                <w:sz w:val="16"/>
                <w:szCs w:val="16"/>
                <w:i w:val="1"/>
                <w:iCs w:val="1"/>
                <w:color w:val="auto"/>
              </w:rPr>
              <w:t>3.7.5 Useful lives of intangibles</w:t>
            </w:r>
          </w:p>
        </w:tc>
        <w:tc>
          <w:tcPr>
            <w:tcW w:w="2200" w:type="dxa"/>
            <w:vAlign w:val="bottom"/>
          </w:tcPr>
          <w:p>
            <w:pPr>
              <w:spacing w:after="0"/>
              <w:rPr>
                <w:sz w:val="24"/>
                <w:szCs w:val="24"/>
                <w:color w:val="auto"/>
              </w:rPr>
            </w:pPr>
          </w:p>
        </w:tc>
      </w:tr>
      <w:tr>
        <w:trPr>
          <w:trHeight w:val="382"/>
        </w:trPr>
        <w:tc>
          <w:tcPr>
            <w:tcW w:w="9060" w:type="dxa"/>
            <w:vAlign w:val="bottom"/>
          </w:tcPr>
          <w:p>
            <w:pPr>
              <w:spacing w:after="0"/>
              <w:rPr>
                <w:sz w:val="20"/>
                <w:szCs w:val="20"/>
                <w:color w:val="auto"/>
              </w:rPr>
            </w:pPr>
            <w:r>
              <w:rPr>
                <w:rFonts w:ascii="Arial" w:cs="Arial" w:eastAsia="Arial" w:hAnsi="Arial"/>
                <w:sz w:val="16"/>
                <w:szCs w:val="16"/>
                <w:color w:val="auto"/>
              </w:rPr>
              <w:t>The following useful lives are used to calculate amortization:</w:t>
            </w:r>
          </w:p>
        </w:tc>
        <w:tc>
          <w:tcPr>
            <w:tcW w:w="2200" w:type="dxa"/>
            <w:vAlign w:val="bottom"/>
          </w:tcPr>
          <w:p>
            <w:pPr>
              <w:spacing w:after="0"/>
              <w:rPr>
                <w:sz w:val="24"/>
                <w:szCs w:val="24"/>
                <w:color w:val="auto"/>
              </w:rPr>
            </w:pPr>
          </w:p>
        </w:tc>
      </w:tr>
      <w:tr>
        <w:trPr>
          <w:trHeight w:val="191"/>
        </w:trPr>
        <w:tc>
          <w:tcPr>
            <w:tcW w:w="906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91"/>
        </w:trPr>
        <w:tc>
          <w:tcPr>
            <w:tcW w:w="9060" w:type="dxa"/>
            <w:vAlign w:val="bottom"/>
            <w:shd w:val="clear" w:color="auto" w:fill="CCEEFF"/>
          </w:tcPr>
          <w:p>
            <w:pPr>
              <w:spacing w:after="0"/>
              <w:rPr>
                <w:sz w:val="20"/>
                <w:szCs w:val="20"/>
                <w:color w:val="auto"/>
              </w:rPr>
            </w:pPr>
            <w:r>
              <w:rPr>
                <w:rFonts w:ascii="Arial" w:cs="Arial" w:eastAsia="Arial" w:hAnsi="Arial"/>
                <w:sz w:val="16"/>
                <w:szCs w:val="16"/>
                <w:color w:val="auto"/>
              </w:rPr>
              <w:t>Trademarks and sanitary records</w:t>
            </w:r>
          </w:p>
        </w:tc>
        <w:tc>
          <w:tcPr>
            <w:tcW w:w="2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 – 20 years</w:t>
            </w:r>
          </w:p>
        </w:tc>
      </w:tr>
      <w:tr>
        <w:trPr>
          <w:trHeight w:val="191"/>
        </w:trPr>
        <w:tc>
          <w:tcPr>
            <w:tcW w:w="9060" w:type="dxa"/>
            <w:vAlign w:val="bottom"/>
          </w:tcPr>
          <w:p>
            <w:pPr>
              <w:spacing w:after="0"/>
              <w:rPr>
                <w:sz w:val="20"/>
                <w:szCs w:val="20"/>
                <w:color w:val="auto"/>
              </w:rPr>
            </w:pPr>
            <w:r>
              <w:rPr>
                <w:rFonts w:ascii="Arial" w:cs="Arial" w:eastAsia="Arial" w:hAnsi="Arial"/>
                <w:sz w:val="16"/>
                <w:szCs w:val="16"/>
                <w:color w:val="auto"/>
              </w:rPr>
              <w:t>Licenses, customers and agreements</w:t>
            </w:r>
          </w:p>
        </w:tc>
        <w:tc>
          <w:tcPr>
            <w:tcW w:w="2200" w:type="dxa"/>
            <w:vAlign w:val="bottom"/>
          </w:tcPr>
          <w:p>
            <w:pPr>
              <w:jc w:val="right"/>
              <w:ind w:right="40"/>
              <w:spacing w:after="0"/>
              <w:rPr>
                <w:sz w:val="20"/>
                <w:szCs w:val="20"/>
                <w:color w:val="auto"/>
              </w:rPr>
            </w:pPr>
            <w:r>
              <w:rPr>
                <w:rFonts w:ascii="Arial" w:cs="Arial" w:eastAsia="Arial" w:hAnsi="Arial"/>
                <w:sz w:val="16"/>
                <w:szCs w:val="16"/>
                <w:color w:val="auto"/>
              </w:rPr>
              <w:t>3 – 10 years</w:t>
            </w:r>
          </w:p>
        </w:tc>
      </w:tr>
      <w:tr>
        <w:trPr>
          <w:trHeight w:val="191"/>
        </w:trPr>
        <w:tc>
          <w:tcPr>
            <w:tcW w:w="9060" w:type="dxa"/>
            <w:vAlign w:val="bottom"/>
            <w:shd w:val="clear" w:color="auto" w:fill="CCEEFF"/>
          </w:tcPr>
          <w:p>
            <w:pPr>
              <w:spacing w:after="0"/>
              <w:rPr>
                <w:sz w:val="20"/>
                <w:szCs w:val="20"/>
                <w:color w:val="auto"/>
              </w:rPr>
            </w:pPr>
            <w:r>
              <w:rPr>
                <w:rFonts w:ascii="Arial" w:cs="Arial" w:eastAsia="Arial" w:hAnsi="Arial"/>
                <w:sz w:val="16"/>
                <w:szCs w:val="16"/>
                <w:color w:val="auto"/>
              </w:rPr>
              <w:t>Product development</w:t>
            </w:r>
          </w:p>
        </w:tc>
        <w:tc>
          <w:tcPr>
            <w:tcW w:w="2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 years</w:t>
            </w:r>
          </w:p>
        </w:tc>
      </w:tr>
      <w:tr>
        <w:trPr>
          <w:trHeight w:val="383"/>
        </w:trPr>
        <w:tc>
          <w:tcPr>
            <w:tcW w:w="9060" w:type="dxa"/>
            <w:vAlign w:val="bottom"/>
          </w:tcPr>
          <w:p>
            <w:pPr>
              <w:spacing w:after="0"/>
              <w:rPr>
                <w:sz w:val="20"/>
                <w:szCs w:val="20"/>
                <w:color w:val="auto"/>
              </w:rPr>
            </w:pPr>
            <w:r>
              <w:rPr>
                <w:rFonts w:ascii="Arial" w:cs="Arial" w:eastAsia="Arial" w:hAnsi="Arial"/>
                <w:sz w:val="16"/>
                <w:szCs w:val="16"/>
                <w:b w:val="1"/>
                <w:bCs w:val="1"/>
                <w:color w:val="auto"/>
              </w:rPr>
              <w:t>Note 3.8. Financial liabilities and equity instruments</w:t>
            </w:r>
          </w:p>
        </w:tc>
        <w:tc>
          <w:tcPr>
            <w:tcW w:w="2200" w:type="dxa"/>
            <w:vAlign w:val="bottom"/>
          </w:tcPr>
          <w:p>
            <w:pPr>
              <w:spacing w:after="0"/>
              <w:rPr>
                <w:sz w:val="24"/>
                <w:szCs w:val="24"/>
                <w:color w:val="auto"/>
              </w:rPr>
            </w:pPr>
          </w:p>
        </w:tc>
      </w:tr>
      <w:tr>
        <w:trPr>
          <w:trHeight w:val="382"/>
        </w:trPr>
        <w:tc>
          <w:tcPr>
            <w:tcW w:w="9060" w:type="dxa"/>
            <w:vAlign w:val="bottom"/>
          </w:tcPr>
          <w:p>
            <w:pPr>
              <w:spacing w:after="0"/>
              <w:rPr>
                <w:sz w:val="20"/>
                <w:szCs w:val="20"/>
                <w:color w:val="auto"/>
              </w:rPr>
            </w:pPr>
            <w:r>
              <w:rPr>
                <w:rFonts w:ascii="Arial" w:cs="Arial" w:eastAsia="Arial" w:hAnsi="Arial"/>
                <w:sz w:val="16"/>
                <w:szCs w:val="16"/>
                <w:i w:val="1"/>
                <w:iCs w:val="1"/>
                <w:color w:val="auto"/>
              </w:rPr>
              <w:t>3.8.1 Classification as debt or equity</w:t>
            </w:r>
          </w:p>
        </w:tc>
        <w:tc>
          <w:tcPr>
            <w:tcW w:w="2200" w:type="dxa"/>
            <w:vAlign w:val="bottom"/>
          </w:tcPr>
          <w:p>
            <w:pPr>
              <w:spacing w:after="0"/>
              <w:rPr>
                <w:sz w:val="24"/>
                <w:szCs w:val="24"/>
                <w:color w:val="auto"/>
              </w:rPr>
            </w:pPr>
          </w:p>
        </w:tc>
      </w:tr>
    </w:tbl>
    <w:p>
      <w:pPr>
        <w:spacing w:after="0" w:line="17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Debt and equity instruments are classified as financial liabilities or equity in accordance with the substance of the contractual agreement and definitions of financial liability and equity instrument.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3.8.2 Equity instruments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An equity instrument consists of any contract that evidences a residual interest in the assets of an entity, after deducting all of its liabilities. Equity instruments issued by a Group entity are recognized for income received, net of direct issue costs.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repurchase of equity instruments of the Group is recognized and deducted directly in equity. No gain or loss is recognized through profit or loss, arising from the purchase, sale, issue or cancellation of the equity instruments of the Group.</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3.8.3 Financial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Financial liabilities are classified at their inception at fair value through profit or loss or at amortized cost, using the effective interest amortization method.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3.8.4 Warrant liabilities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 has warrants that are initially recognized at fair value on the date a derivative contract is entered into, and they are subsequently remeasured to their fair value at the end of each reporting period. Gains and losses will be recorded in profit or loss.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3.8.5 Shares held in escrow</w:t>
      </w:r>
    </w:p>
    <w:p>
      <w:pPr>
        <w:spacing w:after="0" w:line="198"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The shares to be delivered, in an escrow, are initially recognized at fair value of the equity instruments granted for services received in an equity-settled share-based payment determined at grant date, and they are subsequently remeasured to their fair value at the end of each reporting period until they are released from escrow or are forfeited.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3.9. Trade and other payables, net</w:t>
      </w:r>
    </w:p>
    <w:p>
      <w:pPr>
        <w:spacing w:after="0" w:line="202"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Trade and other payables are recognized when the Group has a legal or a constructive obligation, as a result of a past event, and it is probable that there may be an outflow of resources embodying economic benefits to settle the obligation and the obligation can be measured reliably. These amounts represent liabilities for goods and services provided to the Group prior to the end of financial year which are unpaid. The average credit period for purchases is between 90 and 180 days, including cases in which the invoices have been assigned by the supplier to third parties. Other payables correspond mainly to employment obligations and provisions.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Reverse factoring</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Suppliers of the Group initiate and enter into reverse factoring arrangements in which the Group participates. Under such arrangements suppliers sell or assign their receivables from the Group to third parties (i.e. ‘the factor’), after which the Group pays and settles the underlying invoices directly with the factors. Provided that certain conditions are met, the invoices sold or assigned to factors remain classified within trade and other payables. The criteria are that: 1) the assignment is contractually initiated and decided by the supplier, 2) it does not extend the period in which the Group regularly pays the supplier, 3) the amount of the invoices is not modified, and there are no charges in this regard by third parties. Otherwise, the Group reclassifies those balances as a financial liability, other term loans with a corresponding reclassification from operating cash flows to financing cash flows, for the amount paid to factors.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3.10. Taxes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represents the sum of current income tax payable and deferred tax.</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3.10.1 Current tax</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Current tax is based on the taxable income registered during the year. The taxable income differs from the income reported in the consolidated statement of profit or loss and other comprehensive income, due to the items of income or expenses that are taxable or deductible in other years and items that are never taxable or deductible. The liabilities of the Group for current tax purposes are calculated using the tax rates enacted or substantially approved at the end of the respective reporting period.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3.10.2 Deferred tax</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Deferred tax is recognized on temporary differences between the carrying amount of the assets and liabilities included in the consolidated financial statements and the corresponding tax basis used to determine the taxable income. The deferred tax liability is generally recognized for all temporary tax differences. A deferred tax asset will be recognized, as a result of all deductible temporary differences, to the extent that it is likely that each entity will have future taxable income against which to charge those deductible temporary differences. These assets and liabilities are not recognized if the temporary differences arise from the initial recognition (rather than through a business combination) of other assets and liabilities in an operation that does not affect the taxable income or the accounting income. In addition, deferred tax liabilities are not recognized if the temporary difference arises from the initial recognition of goodwill.</w:t>
      </w:r>
    </w:p>
    <w:p>
      <w:pPr>
        <w:spacing w:after="0" w:line="170" w:lineRule="exact"/>
        <w:rPr>
          <w:sz w:val="20"/>
          <w:szCs w:val="20"/>
          <w:color w:val="auto"/>
        </w:rPr>
      </w:pPr>
    </w:p>
    <w:p>
      <w:pPr>
        <w:jc w:val="both"/>
        <w:ind w:right="20"/>
        <w:spacing w:after="0" w:line="306" w:lineRule="auto"/>
        <w:rPr>
          <w:sz w:val="20"/>
          <w:szCs w:val="20"/>
          <w:color w:val="auto"/>
        </w:rPr>
      </w:pPr>
      <w:r>
        <w:rPr>
          <w:rFonts w:ascii="Arial" w:cs="Arial" w:eastAsia="Arial" w:hAnsi="Arial"/>
          <w:sz w:val="14"/>
          <w:szCs w:val="14"/>
          <w:color w:val="auto"/>
        </w:rPr>
        <w:t>A deferred liability should be recognized for taxable temporary differences associated with investments in subsidiaries and joint ventures, and interests in joint ventures, except for those in which the Group is able to control the reversal of the temporary difference and when there is a possibility that it cannot be reversed in the near future. Deferred tax assets arising from the deductible temporary differences associated with such investments and participation are only recognized to the extent that it is likely that each entity will have future taxable profits against which to charge those temporary differences and when there is the possibility that these can be reversed in the near future.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carrying amount of a deferred tax asset must be reviewed at the end of each reporting period and reduced, to the extent that it is likely that it will not have sufficient taxable income in the future to allow all or part of the asset to be recovered.</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Deferred tax assets and liabilities should be measured using the tax rates expected to be applied in the period in which the asset is realized or the liability is settled, based on the rates (and tax laws) enacted or substantively enacted at the end of the respective reporting period.</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measurement of deferred tax liabilities and deferred tax assets will reflect the tax consequences that would arise based on each Group company’s expectations, at the end of the reporting period, to recover or settle the carrying amount of their assets and liabilities.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Deferred tax assets and liabilities are offset if there is a legally enforceable right to offset current tax liabilities and assets, and relate to taxes levied by the same tax authority on the same taxable entity, or on different taxable entities.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3.10.3 Current and deferred taxes</w:t>
      </w:r>
    </w:p>
    <w:p>
      <w:pPr>
        <w:spacing w:after="0" w:line="198"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Current and deferred taxes should be recognized through profit or loss, except when they relate to items listed in other comprehensive income or directly in equity, in which case the current or deferred tax is also recognized though other comprehensive income or directly in the equity, respectively. In cases of business combinations, when the current tax or deferred tax arises from the initial accounting of the business combination, the tax effect is considered within the accounting of the business combination.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3.11. Provisions</w:t>
      </w:r>
    </w:p>
    <w:p>
      <w:pPr>
        <w:spacing w:after="0" w:line="202"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Provisions are recognized when (i) the Group has a present legal or constructive obligation as a result of past events, (ii) it is probable that an outflow of resources embodying economic benefits will be required to settle the obligation, and (iii) a reliable estimate of the amount of the obligation can be made. Provisions are determined by discounting the expected future cash flows at a pre-tax rate that reflects current market assessments of the time value of money and, where appropriate, the risks specific to the liability.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3.11.1 Disputes and litigation</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 provision for disputes and litigation is recognized when it is more likely than not that the Group will be required to make future payments as a result of past events, such items may include but are not limited to claims, lawsuits and actions relating to employment related disputes and claims from tax authorities.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3.12. Employee benefits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3.12.1. Retirement and termination benefit costs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Payments to defined contribution retirement benefit plans are recognized as an expense when employees has rendered service entitling them to the contributions. Payments made to state-managed retirement benefit plans are accounted for as payments to defined contribution plans where the Group’s obligations under the plans are equivalent to those arising in a defined contribution retirement benefit plan.</w:t>
      </w:r>
    </w:p>
    <w:p>
      <w:pPr>
        <w:spacing w:after="0" w:line="162"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For defined benefit retirement benefit plans, the cost of providing benefits is determined using the Projected Unit Credit Method, with actuarial valuations being carried out at the end of each annual reporting period. Remeasurements for actuarial gains and losses are recognized immediately in the consolidated statement of financial position with a charge or credit to other comprehensive income in the period in which they occur. Remeasurements recognized in other comprehensive income are not reclassified. Past service cost is recognized in profit or loss when the plan amendment or curtailment occurs or when the Group recognizes related restructuring costs or termination benefits, if earlier. Gains or losses on settlement of a defined benefit plan are recognized when the settlement occurs. Net interest is calculated by applying a discount rate to the net defined benefit liability.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Defined benefit costs are split into three categories:</w:t>
      </w:r>
    </w:p>
    <w:p>
      <w:pPr>
        <w:spacing w:after="0" w:line="198" w:lineRule="exact"/>
        <w:rPr>
          <w:sz w:val="20"/>
          <w:szCs w:val="20"/>
          <w:color w:val="auto"/>
        </w:rPr>
      </w:pPr>
    </w:p>
    <w:p>
      <w:pPr>
        <w:ind w:left="560" w:hanging="278"/>
        <w:spacing w:after="0"/>
        <w:tabs>
          <w:tab w:leader="none" w:pos="5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service cost, which includes current service cost, past service cost and gains and losses on curtailments and settlements;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net interest expense; and</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remeasurements.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retirement benefit obligation recognized in the consolidated statement of financial position represents the deficit or surplus in the Group’s defined benefit plans. Any surplus resulting from this calculation is limited to the present value of any economic benefits available in the form of refunds from the plans or reductions in future contributions to the plans.</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 liability for a termination benefit is recognized at the earlier of when the Group can no longer withdraw the offer of the termination benefit and when the Group recognizes any related restructuring costs.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Discretionary contributions made by employees or third parties reduce service cost upon payment of these contributions to the plan.</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Group recognized a net interest expense within finance costs as of December 31, 2021 of $67 (2020: $60, 2019: $47) while remeasurements of the calculations are reflected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in the Statement of Other Comprehensive Income. Remeasurements of the calculations represented a decrease of $195 (increase 2020: $47, decrease 2019: $122).</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3.12.2. Short-term and other long-term employee benefits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 liability is recognized for benefits accruing to employees in the form of wages and salaries, annual leave and sick leave in the period the related service is rendered at the undiscounted amount of the benefits expected to be paid in exchange for that service.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Liabilities recognized in respect of short-term employee benefits are measured at the undiscounted amount of the benefits expected to be paid in exchange for the related service.</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Liabilities recognized in respect of other long-term employee benefits are measured at the present value of the estimated future cash outflows expected to be made by the Group in respect of services provided by employees up to the reporting date.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the Group recognized employee benefits costs within profit or loss as cost of sales of $25,051 (2020: $27,421, 2019: $23,688) and $62,200 (2020:</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$48,913, 2019: $52,956) as administrative expenses.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3.13. Revenue recognition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Group recognizes revenues from the sale of pharmaceutical products and the provision of services primarily related to product development projects.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Revenue is measured based on the consideration specified in a contract with a customer and excludes balances collected on behalf of third parties. The Group recognizes revenue when transferring control of a product or service to a customer.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3.13.1 Sale of goods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Revenue from the sale of goods is recognized when the control of the goods is transferred (both in export and domestic operations) and the performance obligations have been fulfilled by the Group, which occurs when the product is delivered to the location specified by the customer, according to the negotiating conditions agreed upon. Revenues are reduced by discounts or rebates and other similar allowances estimated for customers.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3.13.2 License revenues</w:t>
      </w:r>
    </w:p>
    <w:p>
      <w:pPr>
        <w:spacing w:after="0" w:line="198"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Revenue from the sale of intellectual property (licenses) is recognized based on the evaluation of whether an entity’s commitment to grant a license provides the customer with a right of access to intellectual property, which is transferred over time, or a right to use the intellectual property of an entity, which is transferred at a point in time.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license is a commitment to provide a right of access to the entity’s intellectual property if all the following criteria are met:</w:t>
      </w:r>
    </w:p>
    <w:p>
      <w:pPr>
        <w:spacing w:after="0" w:line="198" w:lineRule="exact"/>
        <w:rPr>
          <w:sz w:val="20"/>
          <w:szCs w:val="20"/>
          <w:color w:val="auto"/>
        </w:rPr>
      </w:pPr>
    </w:p>
    <w:p>
      <w:pPr>
        <w:ind w:left="560" w:right="20" w:hanging="278"/>
        <w:spacing w:after="0" w:line="275" w:lineRule="auto"/>
        <w:tabs>
          <w:tab w:leader="none" w:pos="5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contract requires, or the customer reasonably expects, that the entity carries out activities that significantly affect the intellectual property to which the customer is entitled;</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rights granted by the license directly expose the customer to the positive or negative effects of the entity’s activities identified in subsection a above; and</w:t>
      </w:r>
    </w:p>
    <w:p>
      <w:pPr>
        <w:spacing w:after="0" w:line="209" w:lineRule="exact"/>
        <w:rPr>
          <w:rFonts w:ascii="Arial" w:cs="Arial" w:eastAsia="Arial" w:hAnsi="Arial"/>
          <w:sz w:val="15"/>
          <w:szCs w:val="15"/>
          <w:color w:val="auto"/>
        </w:rPr>
      </w:pPr>
    </w:p>
    <w:p>
      <w:pPr>
        <w:ind w:left="560" w:hanging="278"/>
        <w:spacing w:after="0"/>
        <w:tabs>
          <w:tab w:leader="none" w:pos="5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those activities do not result in the transfer of a good or service to the customer as such activities take place.</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If these criteria are not met, the license grants the customer a right to use the license, and the transaction is recognized when the license is granted to the customer.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3.13.3 Service provision</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Revenue from service contracts are recognized based on the status of completion of the contract. If the Group transfers control of a service to satisfy the performance obligation over time, it then recognizes revenue over time, if one of the following criteria is met:</w:t>
      </w:r>
    </w:p>
    <w:p>
      <w:pPr>
        <w:spacing w:after="0" w:line="152" w:lineRule="exact"/>
        <w:rPr>
          <w:sz w:val="20"/>
          <w:szCs w:val="20"/>
          <w:color w:val="auto"/>
        </w:rPr>
      </w:pPr>
    </w:p>
    <w:p>
      <w:pPr>
        <w:ind w:left="560" w:hanging="278"/>
        <w:spacing w:after="0"/>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customer simultaneously receives and consumes the benefits provided by the entity’s performance as the entity performs;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entity’s performance creates or enhances an asset that the customer controls as it is created or enhanced; or</w:t>
      </w:r>
    </w:p>
    <w:p>
      <w:pPr>
        <w:spacing w:after="0" w:line="198" w:lineRule="exact"/>
        <w:rPr>
          <w:rFonts w:ascii="Arial" w:cs="Arial" w:eastAsia="Arial" w:hAnsi="Arial"/>
          <w:sz w:val="16"/>
          <w:szCs w:val="16"/>
          <w:color w:val="auto"/>
        </w:rPr>
      </w:pPr>
    </w:p>
    <w:p>
      <w:pPr>
        <w:ind w:left="560" w:hanging="278"/>
        <w:spacing w:after="0" w:line="275" w:lineRule="auto"/>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entity’s performance does not create an asset with an alternative use for the entity and the entity has an enforceable right to payment for performance that has been completed to date.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3.13.4 Sale of trademarks and sanitary registration</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Revenue from contracts for the sale of a trademark or sanitary registration are recognized at the point of the transfer of possession, use, enjoyment and other real and personal rights at the price agreed in the contract, fulfilling the following conditions:</w:t>
      </w:r>
    </w:p>
    <w:p>
      <w:pPr>
        <w:spacing w:after="0" w:line="152" w:lineRule="exact"/>
        <w:rPr>
          <w:sz w:val="20"/>
          <w:szCs w:val="20"/>
          <w:color w:val="auto"/>
        </w:rPr>
      </w:pPr>
    </w:p>
    <w:p>
      <w:pPr>
        <w:ind w:left="560" w:hanging="278"/>
        <w:spacing w:after="0"/>
        <w:tabs>
          <w:tab w:leader="none" w:pos="5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customer has the right to all the benefits of the commercial use of the trademark or sanitary registration.</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customer can redirect the use of the trademark or sanitary registration.</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customer is responsible for sales, marketing and advertising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3.14. Segment reporting</w:t>
      </w:r>
    </w:p>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An operating segment is a component that engages in business activities from which it may earn revenues and incur expenses, including revenues and expenses that relate to transactions with any of the other components, and for which discrete financial information is available. The Group is engaged in the business of developing, producing and marketing pharmaceutical solutions and related activities and is considered an integrated international healthcare and pharmaceutical company across the three core therapeutic areas: hospitals/clinics, pharmacies (prescription) and over-the-counter (non-prescription).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Group’s customer revenue recognition (external revenue) policy has been consistent with inter-segment revenue generated.</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Group’s business is organized and managed through a combination of geographical regions and business units through 39 legal entities, of which 23 are operating entities, divided in strategic divisions, which are its reportable segments. These divisions offer different products and services and are managed separately as they require different technology and marketing strategies.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91"/>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00" w:type="dxa"/>
            <w:vAlign w:val="bottom"/>
          </w:tcPr>
          <w:p>
            <w:pPr>
              <w:jc w:val="center"/>
              <w:ind w:right="2300"/>
              <w:spacing w:after="0"/>
              <w:rPr>
                <w:sz w:val="20"/>
                <w:szCs w:val="20"/>
                <w:color w:val="auto"/>
              </w:rPr>
            </w:pPr>
            <w:r>
              <w:rPr>
                <w:rFonts w:ascii="Arial" w:cs="Arial" w:eastAsia="Arial" w:hAnsi="Arial"/>
                <w:sz w:val="16"/>
                <w:szCs w:val="16"/>
                <w:b w:val="1"/>
                <w:bCs w:val="1"/>
                <w:color w:val="auto"/>
                <w:w w:val="89"/>
              </w:rPr>
              <w:t>Procaps Group S.A. and subsidiaries (The Group)</w:t>
            </w:r>
          </w:p>
        </w:tc>
      </w:tr>
      <w:tr>
        <w:trPr>
          <w:trHeight w:val="191"/>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00" w:type="dxa"/>
            <w:vAlign w:val="bottom"/>
          </w:tcPr>
          <w:p>
            <w:pPr>
              <w:jc w:val="center"/>
              <w:ind w:right="2300"/>
              <w:spacing w:after="0"/>
              <w:rPr>
                <w:sz w:val="20"/>
                <w:szCs w:val="20"/>
                <w:color w:val="auto"/>
              </w:rPr>
            </w:pPr>
            <w:r>
              <w:rPr>
                <w:rFonts w:ascii="Arial" w:cs="Arial" w:eastAsia="Arial" w:hAnsi="Arial"/>
                <w:sz w:val="16"/>
                <w:szCs w:val="16"/>
                <w:b w:val="1"/>
                <w:bCs w:val="1"/>
                <w:color w:val="auto"/>
                <w:w w:val="88"/>
              </w:rPr>
              <w:t>Notes to Consolidated Financial Statements</w:t>
            </w:r>
          </w:p>
        </w:tc>
      </w:tr>
      <w:tr>
        <w:trPr>
          <w:trHeight w:val="191"/>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00" w:type="dxa"/>
            <w:vAlign w:val="bottom"/>
          </w:tcPr>
          <w:p>
            <w:pPr>
              <w:jc w:val="center"/>
              <w:ind w:right="2300"/>
              <w:spacing w:after="0"/>
              <w:rPr>
                <w:sz w:val="20"/>
                <w:szCs w:val="20"/>
                <w:color w:val="auto"/>
              </w:rPr>
            </w:pPr>
            <w:r>
              <w:rPr>
                <w:rFonts w:ascii="Arial" w:cs="Arial" w:eastAsia="Arial" w:hAnsi="Arial"/>
                <w:sz w:val="16"/>
                <w:szCs w:val="16"/>
                <w:b w:val="1"/>
                <w:bCs w:val="1"/>
                <w:color w:val="auto"/>
                <w:w w:val="88"/>
              </w:rPr>
              <w:t>For the years ended December 31, 2021, 2020 and 2019</w:t>
            </w:r>
          </w:p>
        </w:tc>
      </w:tr>
      <w:tr>
        <w:trPr>
          <w:trHeight w:val="208"/>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Pr>
          <w:p>
            <w:pPr>
              <w:jc w:val="center"/>
              <w:ind w:right="2300"/>
              <w:spacing w:after="0"/>
              <w:rPr>
                <w:sz w:val="20"/>
                <w:szCs w:val="20"/>
                <w:color w:val="auto"/>
              </w:rPr>
            </w:pPr>
            <w:r>
              <w:rPr>
                <w:rFonts w:ascii="Arial" w:cs="Arial" w:eastAsia="Arial" w:hAnsi="Arial"/>
                <w:sz w:val="16"/>
                <w:szCs w:val="16"/>
                <w:b w:val="1"/>
                <w:bCs w:val="1"/>
                <w:color w:val="auto"/>
                <w:w w:val="88"/>
              </w:rPr>
              <w:t>(In thousands of United States Dollars, unless otherwise stated)</w:t>
            </w:r>
          </w:p>
        </w:tc>
      </w:tr>
      <w:tr>
        <w:trPr>
          <w:trHeight w:val="382"/>
        </w:trPr>
        <w:tc>
          <w:tcPr>
            <w:tcW w:w="11260" w:type="dxa"/>
            <w:vAlign w:val="bottom"/>
            <w:gridSpan w:val="3"/>
          </w:tcPr>
          <w:p>
            <w:pPr>
              <w:spacing w:after="0"/>
              <w:rPr>
                <w:sz w:val="20"/>
                <w:szCs w:val="20"/>
                <w:color w:val="auto"/>
              </w:rPr>
            </w:pPr>
            <w:r>
              <w:rPr>
                <w:rFonts w:ascii="Arial" w:cs="Arial" w:eastAsia="Arial" w:hAnsi="Arial"/>
                <w:sz w:val="16"/>
                <w:szCs w:val="16"/>
                <w:color w:val="auto"/>
              </w:rPr>
              <w:t>The following summary describes the operations of each reportable segment:</w:t>
            </w:r>
          </w:p>
        </w:tc>
      </w:tr>
      <w:tr>
        <w:trPr>
          <w:trHeight w:val="398"/>
        </w:trPr>
        <w:tc>
          <w:tcPr>
            <w:tcW w:w="2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Reportable segment</w:t>
            </w:r>
          </w:p>
        </w:tc>
        <w:tc>
          <w:tcPr>
            <w:tcW w:w="100" w:type="dxa"/>
            <w:vAlign w:val="bottom"/>
            <w:tcBorders>
              <w:bottom w:val="single" w:sz="8" w:color="CCEEFF"/>
            </w:tcBorders>
          </w:tcPr>
          <w:p>
            <w:pPr>
              <w:spacing w:after="0"/>
              <w:rPr>
                <w:sz w:val="24"/>
                <w:szCs w:val="24"/>
                <w:color w:val="auto"/>
              </w:rPr>
            </w:pPr>
          </w:p>
        </w:tc>
        <w:tc>
          <w:tcPr>
            <w:tcW w:w="8900" w:type="dxa"/>
            <w:vAlign w:val="bottom"/>
            <w:tcBorders>
              <w:bottom w:val="single" w:sz="8" w:color="auto"/>
            </w:tcBorders>
          </w:tcPr>
          <w:p>
            <w:pPr>
              <w:ind w:left="4060"/>
              <w:spacing w:after="0"/>
              <w:rPr>
                <w:sz w:val="20"/>
                <w:szCs w:val="20"/>
                <w:color w:val="auto"/>
              </w:rPr>
            </w:pPr>
            <w:r>
              <w:rPr>
                <w:rFonts w:ascii="Arial" w:cs="Arial" w:eastAsia="Arial" w:hAnsi="Arial"/>
                <w:sz w:val="16"/>
                <w:szCs w:val="16"/>
                <w:b w:val="1"/>
                <w:bCs w:val="1"/>
                <w:color w:val="auto"/>
              </w:rPr>
              <w:t>Operations</w:t>
            </w:r>
          </w:p>
        </w:tc>
      </w:tr>
      <w:tr>
        <w:trPr>
          <w:trHeight w:val="191"/>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NextGel</w:t>
            </w:r>
          </w:p>
        </w:tc>
        <w:tc>
          <w:tcPr>
            <w:tcW w:w="100" w:type="dxa"/>
            <w:vAlign w:val="bottom"/>
            <w:shd w:val="clear" w:color="auto" w:fill="CCEEFF"/>
          </w:tcPr>
          <w:p>
            <w:pPr>
              <w:spacing w:after="0"/>
              <w:rPr>
                <w:sz w:val="16"/>
                <w:szCs w:val="16"/>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Manufacturing and distribution of prescription and over-the-counter pharmaceutical products in USA, Brazil and Colombia</w:t>
            </w:r>
          </w:p>
        </w:tc>
      </w:tr>
      <w:tr>
        <w:trPr>
          <w:trHeight w:val="191"/>
        </w:trPr>
        <w:tc>
          <w:tcPr>
            <w:tcW w:w="2260" w:type="dxa"/>
            <w:vAlign w:val="bottom"/>
          </w:tcPr>
          <w:p>
            <w:pPr>
              <w:spacing w:after="0"/>
              <w:rPr>
                <w:sz w:val="20"/>
                <w:szCs w:val="20"/>
                <w:color w:val="auto"/>
              </w:rPr>
            </w:pPr>
            <w:r>
              <w:rPr>
                <w:rFonts w:ascii="Arial" w:cs="Arial" w:eastAsia="Arial" w:hAnsi="Arial"/>
                <w:sz w:val="16"/>
                <w:szCs w:val="16"/>
                <w:color w:val="auto"/>
              </w:rPr>
              <w:t>Procaps Colombia</w:t>
            </w:r>
          </w:p>
        </w:tc>
        <w:tc>
          <w:tcPr>
            <w:tcW w:w="9000" w:type="dxa"/>
            <w:vAlign w:val="bottom"/>
            <w:gridSpan w:val="2"/>
          </w:tcPr>
          <w:p>
            <w:pPr>
              <w:ind w:left="100"/>
              <w:spacing w:after="0"/>
              <w:rPr>
                <w:sz w:val="20"/>
                <w:szCs w:val="20"/>
                <w:color w:val="auto"/>
              </w:rPr>
            </w:pPr>
            <w:r>
              <w:rPr>
                <w:rFonts w:ascii="Arial" w:cs="Arial" w:eastAsia="Arial" w:hAnsi="Arial"/>
                <w:sz w:val="16"/>
                <w:szCs w:val="16"/>
                <w:color w:val="auto"/>
              </w:rPr>
              <w:t>Manufacturing and distribution of prescription and over-the-counter pharmaceutical products in Colombia</w:t>
            </w:r>
          </w:p>
        </w:tc>
      </w:tr>
      <w:tr>
        <w:trPr>
          <w:trHeight w:val="179"/>
        </w:trPr>
        <w:tc>
          <w:tcPr>
            <w:tcW w:w="226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CAN</w:t>
            </w:r>
          </w:p>
        </w:tc>
        <w:tc>
          <w:tcPr>
            <w:tcW w:w="9000" w:type="dxa"/>
            <w:vAlign w:val="bottom"/>
            <w:gridSpan w:val="2"/>
            <w:shd w:val="clear" w:color="auto" w:fill="CCEEFF"/>
          </w:tcPr>
          <w:p>
            <w:pPr>
              <w:ind w:left="100"/>
              <w:spacing w:after="0" w:line="179" w:lineRule="exact"/>
              <w:rPr>
                <w:sz w:val="20"/>
                <w:szCs w:val="20"/>
                <w:color w:val="auto"/>
              </w:rPr>
            </w:pPr>
            <w:r>
              <w:rPr>
                <w:rFonts w:ascii="Arial" w:cs="Arial" w:eastAsia="Arial" w:hAnsi="Arial"/>
                <w:sz w:val="16"/>
                <w:szCs w:val="16"/>
                <w:color w:val="auto"/>
                <w:w w:val="95"/>
              </w:rPr>
              <w:t>Manufacturing and distribution of prescription and over-the-counter pharmaceutical products in Northern Central America: Salvador,</w:t>
            </w:r>
          </w:p>
        </w:tc>
      </w:tr>
      <w:tr>
        <w:trPr>
          <w:trHeight w:val="204"/>
        </w:trPr>
        <w:tc>
          <w:tcPr>
            <w:tcW w:w="2260" w:type="dxa"/>
            <w:vAlign w:val="bottom"/>
            <w:shd w:val="clear" w:color="auto" w:fill="CCEEFF"/>
          </w:tcPr>
          <w:p>
            <w:pPr>
              <w:spacing w:after="0"/>
              <w:rPr>
                <w:sz w:val="17"/>
                <w:szCs w:val="17"/>
                <w:color w:val="auto"/>
              </w:rPr>
            </w:pPr>
          </w:p>
        </w:tc>
        <w:tc>
          <w:tcPr>
            <w:tcW w:w="9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Guatemala, Nicaragua and Honduras</w:t>
            </w:r>
          </w:p>
        </w:tc>
      </w:tr>
      <w:tr>
        <w:trPr>
          <w:trHeight w:val="179"/>
        </w:trPr>
        <w:tc>
          <w:tcPr>
            <w:tcW w:w="2260" w:type="dxa"/>
            <w:vAlign w:val="bottom"/>
          </w:tcPr>
          <w:p>
            <w:pPr>
              <w:spacing w:after="0" w:line="179" w:lineRule="exact"/>
              <w:rPr>
                <w:sz w:val="20"/>
                <w:szCs w:val="20"/>
                <w:color w:val="auto"/>
              </w:rPr>
            </w:pPr>
            <w:r>
              <w:rPr>
                <w:rFonts w:ascii="Arial" w:cs="Arial" w:eastAsia="Arial" w:hAnsi="Arial"/>
                <w:sz w:val="16"/>
                <w:szCs w:val="16"/>
                <w:color w:val="auto"/>
              </w:rPr>
              <w:t>CASAND</w:t>
            </w:r>
          </w:p>
        </w:tc>
        <w:tc>
          <w:tcPr>
            <w:tcW w:w="9000" w:type="dxa"/>
            <w:vAlign w:val="bottom"/>
            <w:gridSpan w:val="2"/>
          </w:tcPr>
          <w:p>
            <w:pPr>
              <w:ind w:left="100"/>
              <w:spacing w:after="0" w:line="179" w:lineRule="exact"/>
              <w:rPr>
                <w:sz w:val="20"/>
                <w:szCs w:val="20"/>
                <w:color w:val="auto"/>
              </w:rPr>
            </w:pPr>
            <w:r>
              <w:rPr>
                <w:rFonts w:ascii="Arial" w:cs="Arial" w:eastAsia="Arial" w:hAnsi="Arial"/>
                <w:sz w:val="16"/>
                <w:szCs w:val="16"/>
                <w:color w:val="auto"/>
                <w:w w:val="92"/>
              </w:rPr>
              <w:t>Manufacturing and distribution of prescription and over-the-counter pharmaceutical products in Southern Central America (Panama and</w:t>
            </w:r>
          </w:p>
        </w:tc>
      </w:tr>
      <w:tr>
        <w:trPr>
          <w:trHeight w:val="204"/>
        </w:trPr>
        <w:tc>
          <w:tcPr>
            <w:tcW w:w="2260" w:type="dxa"/>
            <w:vAlign w:val="bottom"/>
          </w:tcPr>
          <w:p>
            <w:pPr>
              <w:spacing w:after="0"/>
              <w:rPr>
                <w:sz w:val="17"/>
                <w:szCs w:val="17"/>
                <w:color w:val="auto"/>
              </w:rPr>
            </w:pPr>
          </w:p>
        </w:tc>
        <w:tc>
          <w:tcPr>
            <w:tcW w:w="9000" w:type="dxa"/>
            <w:vAlign w:val="bottom"/>
            <w:gridSpan w:val="2"/>
          </w:tcPr>
          <w:p>
            <w:pPr>
              <w:ind w:left="100"/>
              <w:spacing w:after="0"/>
              <w:rPr>
                <w:sz w:val="20"/>
                <w:szCs w:val="20"/>
                <w:color w:val="auto"/>
              </w:rPr>
            </w:pPr>
            <w:r>
              <w:rPr>
                <w:rFonts w:ascii="Arial" w:cs="Arial" w:eastAsia="Arial" w:hAnsi="Arial"/>
                <w:sz w:val="16"/>
                <w:szCs w:val="16"/>
                <w:color w:val="auto"/>
              </w:rPr>
              <w:t>Costa Rica) and the North Andes District (Ecuador, Peru and Bolivia)</w:t>
            </w:r>
          </w:p>
        </w:tc>
      </w:tr>
      <w:tr>
        <w:trPr>
          <w:trHeight w:val="191"/>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Diabetrics</w:t>
            </w:r>
          </w:p>
        </w:tc>
        <w:tc>
          <w:tcPr>
            <w:tcW w:w="9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Diabetes solutions and chronic disease management tool</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Group’s chief executive officer reviews the internal management reports of each division at least quarterly.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3.15. Principles of consolidation and equity accounting</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Non-controlling interests in the results and equity of subsidiaries are shown separately in the consolidated statement of profit or loss, statement of comprehensive income, statement of changes in equity and balance sheet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3.15.1. Joint ventures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Joint ventures are arrangements whereby the Group maintains joint control of the underlying net assets of the arrangement with the counterparties. The Group holds a single 50% interest in one joint venture and the Group holds 50% of the voting rights and management board representation. Investments in joint ventures are accounted for using the equity method of accounting, after initially being recognized at cost.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3.15.2. Equity method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Under the equity method of accounting, the investments are initially recognized at cost and adjusted thereafter to recognize the Group’s share of the post-acquisition profits or losses of the investee in profit or loss, and the Group’s share of movements in other comprehensive income of the investee in other comprehensive income. Dividends received or receivable from joint ventures are recognized as a reduction in the carrying amount of the investment.</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Where the Group’s share of losses in an equity-accounted investment equals or exceeds its interest in the entity, including any other unsecured long-term receivables, the Group does not recognize further losses, unless it has incurred obligations or made payments on behalf of the other entity.</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Unrealized gains on transactions between the Group and its joint ventures are eliminated to the extent of the Group’s interest in these entities. Unrealized losses are also eliminated unless the transaction provides evidence of an impairment of the asset transferred.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Accounting policies of equity-accounted investees have been changed where necessary to ensure consistency with the policies adopted by the Group.</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 xml:space="preserve">The carrying amount of equity-accounted investments is tested for impairment in accordance with the policy described in </w:t>
      </w:r>
      <w:r>
        <w:rPr>
          <w:rFonts w:ascii="Arial" w:cs="Arial" w:eastAsia="Arial" w:hAnsi="Arial"/>
          <w:sz w:val="16"/>
          <w:szCs w:val="16"/>
          <w:i w:val="1"/>
          <w:iCs w:val="1"/>
          <w:color w:val="auto"/>
        </w:rPr>
        <w:t>3.7.3 Impairment of definite-lived tangible and</w:t>
      </w:r>
      <w:r>
        <w:rPr>
          <w:rFonts w:ascii="Arial" w:cs="Arial" w:eastAsia="Arial" w:hAnsi="Arial"/>
          <w:sz w:val="16"/>
          <w:szCs w:val="16"/>
          <w:color w:val="auto"/>
        </w:rPr>
        <w:t xml:space="preserve"> </w:t>
      </w:r>
      <w:r>
        <w:rPr>
          <w:rFonts w:ascii="Arial" w:cs="Arial" w:eastAsia="Arial" w:hAnsi="Arial"/>
          <w:sz w:val="16"/>
          <w:szCs w:val="16"/>
          <w:i w:val="1"/>
          <w:iCs w:val="1"/>
          <w:color w:val="auto"/>
        </w:rPr>
        <w:t>intangible assets and intangibles not yet available for use, and other assets.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3.15.3. Changes in ownership interests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Group treats transactions with non-controlling interests that do not result in a loss of control as transactions with equity owners of the Group. A change in ownership interest results in an adjustment between the carrying amounts of the controlling and non-controlling interests to reflect their relative interests in the subsidiary. Any difference between the amount of the adjustment to non-controlling interests and any consideration paid or received is recognized in a separate reserve within equity attributable to owners of the Group.</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When the Group ceases to consolidate or equity account for an investment because of a loss of control, joint control or significant influence, any retained interest in the entity is remeasured to its fair value, with the change in carrying amount recognized in profit or loss. This fair value becomes the initial carrying amount for the purposes of subsequently accounting for the retained interest as an associate, joint venture or financial asset. In addition, any amounts previously recognized in other comprehensive income in respect of that entity are accounted for as if the Group had directly disposed of the related assets or liabilities. This may mean that amounts previously recognized in other comprehensive income are reclassified to profit or loss.</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If the ownership interest in a joint venture or an associate is reduced but joint control or significant influence is retained, only a proportionate share of the amounts previously recognized in other comprehensive income are reclassified to profit or loss where appropriate.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3.16. Net losses per ordinary share</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Basic loss per ordinary share was computed by dividing basic net income attributable to ordinary shareholders by the weighted-average number of ordinary shares outstanding. Diluted income per ordinary share is computed by dividing diluted net income attributable to ordinary shareholders by the weighted-average number of ordinary shares outstanding plus dilutive potential ordinary shares, if any. Dilutive potential ordinary shares include outstanding warrants or other contracts to issue ordinary stock and are determined by applying the treasury stock method or if-converted method, as applicable, if dilutive.</w:t>
      </w:r>
    </w:p>
    <w:p>
      <w:pPr>
        <w:spacing w:after="0" w:line="165"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As of December 31, 2021, 2020 and 2019, considering that the loss per fully diluted share shall be calculated based on the result for the year divided by the weighted average number of fully diluted shares; The Group would not include the effects of potentially dilutive ordinary shares as their effect would be anti-dilutive.</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Number of shares prior to the Transaction are retrospectively adjusted as a capital restructuring for the equivalent number of shares received and on a pro rata basis for prior reporting periods.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Critical accounting judgements and key sources of estimation uncertainty</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the application of the accounting policies, which are described in Note 3. Summary of significant accounting policies, management must make judgments, estimates and assumptions about the carrying amounts of the assets and liabilities that are not readily observable in other sources. The estimates and underlying assumptions are based on historical experience and other relevant factors. Actual results may differ from these estimates.</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Estimates and underlying assumptions are reviewed regularly. Changes to accounting estimates are recognized in the period of the review, if the change only affects that period, or in future periods if the change affects both the current and subsequent periods.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impairment</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Determining whether goodwill has been impaired involves calculating the value in use of the cash generating units to which the goodwill has been assigned. The calculation of value in use requires the entity to determine the future cash flows that should arise from the cash-generating units and an appropriate discount rate to calculate the present value. When actual future cash flows are less than expected, an impairment loss may arise.</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Goodwill impairment testing relies on a number of critical judgments, estimates and assumptions. Goodwill is tested for impairment at the cash generating unit level. The Group tests at least annually whether goodwill have suffered any impairment by calculating the recoverable amount of the cash generating unit and comparing this to its carrying value.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Group’s impairment testing methodology is in accordance with IAS 36, where the value in use approach is taken into consideration.</w:t>
      </w:r>
    </w:p>
    <w:p>
      <w:pPr>
        <w:spacing w:after="0" w:line="19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value in use calculations primarily use cash flow projections. There are a number of assumptions and estimates involved for the preparation of cash flow projections. Key assumptions include the growth rate, expected market share, expected gross margin and selection of discount rates, to reflect the risks involved.</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Management prepared the financial projections reflecting actual and prior year/period performance and market development expectations. Judgement is required to determine key assumptions adopted in the cash flow projections and changes to key assumptions can significantly affect these cash flow projections and therefore the results of the impairment reviews. Refer Note 12. Goodwill for further information on the goodwill exposure and estimates applied.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Useful life of property, plant and equipment and amortization of intangibles with finite useful lives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Group reviews the estimated useful lives of property, plant and equipment and intangibles with finite useful lives at the end of each annual period.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Reverse factoring</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Significant judgement is involved to evaluate whether a liability under a reverse factoring arrangement is in essence a continuation of an operating liability or a derecognition of the operating liability and recognition of a financing liability. The Group evaluates each of the four criteria carefully and applies judgment to the facts and circumstances as a whole. Specifically, whether interest charged from the suppliers to the Group creates a substantial change in the amount payable, i.e. financing.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Factoring</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Group enters into factoring arrangements where it sells or assigns certain trade receivables to third parties under both recourse and non-recourse programs. Similar, to reverse factoring, significant judgment is required under IFRS 9 to assess whether the Group has substantially transferred all risk and rewards incidental to the trade receivables to the factor. Specifically, whether or not the factor has the right to collect the unpaid invoice amount from the transferor (seller).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Provisions for contingencies, litigation and lawsuits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litigation and lawsuits to which the Companies are exposed are managed by appropriate legal personnel and are primarily related to labor, civil and administrative disputes. The Group considers that a past event has given rise to a present obligation if there is no realistic alternative to settling the present obligation, independent of future events, considering all the evidence available at the reporting date. It is understood that the probability of an event is more likely than not when the probability of occurrence is greater than 50%, in which case the provision is recorded. The possible obligations that arise from past events and whose existence will be confirmed only by the occurrence or non-occurrence of one to more uncertain future events that are not entirely under the control of the Group are not recognized in the consolidated statements of financial position but are disclosed as contingent liabilities. The occurrence or non-occurrence of events that are deemed remote are not recorded or disclosed. The Group utilizes the professional judgment of internal and external specialists to determine the possibility of the occurrence of a present obligation. In the estimation of the provision for litigation and lawsuits, Management considers assumptions such as appraisal of the attorneys, estimated duration of the litigation or lawsuit and statistical information of litigation or lawsuits with similar characteristics, among others.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accounts receivable</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The Group evaluates the impairment of its accounts receivable by the expected credit loss model where it determines its value based on the probability of default, the loss due to default (i.e., the extent of the loss in case of default) and the exposure in the default. The assessment of the probability of default and the loss due to default is based on historical data adjusted by prospective information. Further details of other judgments are in Note 3. Summary of significant accounting policies.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Useful lives of right-of-use assets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Right-of-use assets depreciate during the shorter of the lease term and the useful life of the underlying asset. If a lease transfers ownership of the underlying asset or the cost of the right-of-use asset reflects that the Group expects to exercise a purchase option, the asset related to the right of use depreciates during the useful life of the underlying asset. Depreciation begins at the commencement of the lease.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Recognition of deferred tax assets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Deferred tax assets are recognized for all deductible temporary differences only to the extent that it is probable that taxable profit will be available against which the deductible temporary difference can be utilized. In determining whether it is probable that taxable profit will be available to realize the Group’s deferred tax assets, the management considered the following sources of taxable income:</w:t>
      </w:r>
    </w:p>
    <w:p>
      <w:pPr>
        <w:spacing w:after="0" w:line="162" w:lineRule="exact"/>
        <w:rPr>
          <w:sz w:val="20"/>
          <w:szCs w:val="20"/>
          <w:color w:val="auto"/>
        </w:rPr>
      </w:pPr>
    </w:p>
    <w:p>
      <w:pPr>
        <w:ind w:left="560" w:hanging="278"/>
        <w:spacing w:after="0"/>
        <w:tabs>
          <w:tab w:leader="none" w:pos="5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Reversal of taxable temporary differences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Future taxable profit excluding reversal of temporary differences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Tax planning opportunities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Reverse reorganization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excess between the fair value of the shares and equity instruments issued and the net assets acquired is treated as an expense under IFRS 2 (the ‘listing expense’) and it includes certain elements of judgement and estimation. This centers around the estimation of the fair value of OpCo prior to the Transaction and the fair value of the private warrants.</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fair value of the OpCo was estimated using a combination of a market and income approach under IFRS 13 where the Company forecasted an annual adjusted EBITDA. A market based multiple, as negotiated amongst the independent parties to the Transaction, was then applied to the adjusted EBITDA to arrive at the enterprise value which was then adjusted for OpCo’s net debt.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58" w:name="page159"/>
    <w:bookmarkEnd w:id="158"/>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Private warrants</w:t>
      </w:r>
    </w:p>
    <w:p>
      <w:pPr>
        <w:spacing w:after="0" w:line="198" w:lineRule="exact"/>
        <w:rPr>
          <w:sz w:val="20"/>
          <w:szCs w:val="20"/>
          <w:color w:val="auto"/>
        </w:rPr>
      </w:pPr>
    </w:p>
    <w:p>
      <w:pPr>
        <w:jc w:val="both"/>
        <w:ind w:left="4" w:right="20"/>
        <w:spacing w:after="0" w:line="258" w:lineRule="auto"/>
        <w:rPr>
          <w:sz w:val="20"/>
          <w:szCs w:val="20"/>
          <w:color w:val="auto"/>
        </w:rPr>
      </w:pPr>
      <w:r>
        <w:rPr>
          <w:rFonts w:ascii="Arial" w:cs="Arial" w:eastAsia="Arial" w:hAnsi="Arial"/>
          <w:sz w:val="16"/>
          <w:szCs w:val="16"/>
          <w:color w:val="auto"/>
        </w:rPr>
        <w:t>The private warrants are recorded as financial liabilities on the consolidated statement of financial position and are remeasured on each reporting date. In assessing the fair value of the private warrants, a Black-Scholes option pricing formula for European calls was used since the warrants are not publicly traded. The model requires the input of subjective assumptions, including the volatility of its own ordinary shares, the expected life, and strike price of the warrants. Any changes in these assumptions can significantly affect the estimate of the fair value of the warrants.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Shares held in escrow</w:t>
      </w:r>
    </w:p>
    <w:p>
      <w:pPr>
        <w:spacing w:after="0" w:line="198"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5"/>
          <w:szCs w:val="15"/>
          <w:color w:val="auto"/>
        </w:rPr>
        <w:t>The shares to be delivered in an escrow are recorded as financial liabilities on the consolidated statement of financial position and are remeasured on each reporting date. In assessing the fair value of the shares, Monte Carlo simulation was applied in a risk-neutral framework assuming a Geometric Brownian Motion for the future stock price. This model is consistent with the Black-Scholes option pricing framework and was used to account for the path-dependent + 20 out of 30 day features.</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Note 5. New and amended IFRS Standards that are effective for the current year</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5"/>
          <w:szCs w:val="15"/>
          <w:i w:val="1"/>
          <w:iCs w:val="1"/>
          <w:color w:val="auto"/>
        </w:rPr>
        <w:t>New and amended IFRS Standards that are effective for the current year Impact of the initial application of Covid-19-Related Rent Concessions Amendment to IFRS 16</w:t>
      </w:r>
    </w:p>
    <w:p>
      <w:pPr>
        <w:spacing w:after="0" w:line="210" w:lineRule="exact"/>
        <w:rPr>
          <w:sz w:val="20"/>
          <w:szCs w:val="20"/>
          <w:color w:val="auto"/>
        </w:rPr>
      </w:pPr>
    </w:p>
    <w:p>
      <w:pPr>
        <w:jc w:val="both"/>
        <w:ind w:left="4"/>
        <w:spacing w:after="0" w:line="276" w:lineRule="auto"/>
        <w:rPr>
          <w:sz w:val="20"/>
          <w:szCs w:val="20"/>
          <w:color w:val="auto"/>
        </w:rPr>
      </w:pPr>
      <w:r>
        <w:rPr>
          <w:rFonts w:ascii="Arial" w:cs="Arial" w:eastAsia="Arial" w:hAnsi="Arial"/>
          <w:sz w:val="15"/>
          <w:szCs w:val="15"/>
          <w:color w:val="auto"/>
        </w:rPr>
        <w:t>In May 2020, the IASB issued Covid-19-Related Rent Concessions (Amendment to IFRS 16) that provides practical relief to lessees in accounting for rent concessions occurring as a direct consequence of COVID-19, by introducing a practical expedient to IFRS 16. The practical expedient permits a lessee to elect not to assess whether a COVID-19-related rent concession is a lease modification. A lessee that makes this election shall account for any change in lease payments resulting from the COVID-19-related rent concession the same way it would account for the change applying IFRS 16 if the change were not a lease modification. The practical expedient applies only to rent concessions occurring as a direct consequence of COVID-19 and only if all of the following conditions are met:</w:t>
      </w:r>
    </w:p>
    <w:p>
      <w:pPr>
        <w:spacing w:after="0" w:line="155" w:lineRule="exact"/>
        <w:rPr>
          <w:sz w:val="20"/>
          <w:szCs w:val="20"/>
          <w:color w:val="auto"/>
        </w:rPr>
      </w:pPr>
    </w:p>
    <w:p>
      <w:pPr>
        <w:ind w:left="284" w:hanging="284"/>
        <w:spacing w:after="0" w:line="275" w:lineRule="auto"/>
        <w:tabs>
          <w:tab w:leader="none" w:pos="284"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change in lease payments results in revised consideration for the lease that is substantially the same as, or less than, the consideration for the lease immediately preceding the change;</w:t>
      </w:r>
    </w:p>
    <w:p>
      <w:pPr>
        <w:spacing w:after="0" w:line="151" w:lineRule="exact"/>
        <w:rPr>
          <w:rFonts w:ascii="Arial" w:cs="Arial" w:eastAsia="Arial" w:hAnsi="Arial"/>
          <w:sz w:val="16"/>
          <w:szCs w:val="16"/>
          <w:color w:val="auto"/>
        </w:rPr>
      </w:pPr>
    </w:p>
    <w:p>
      <w:pPr>
        <w:ind w:left="284" w:right="20" w:hanging="284"/>
        <w:spacing w:after="0" w:line="275" w:lineRule="auto"/>
        <w:tabs>
          <w:tab w:leader="none" w:pos="284"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reduction in lease payments affects only payments originally due on or before 30 June 2021 (a rent concession meets this condition if it results in reduced lease payments on or before 30 June 2021 and increased lease payments that extend beyond 30 June 2021); and</w:t>
      </w:r>
    </w:p>
    <w:p>
      <w:pPr>
        <w:spacing w:after="0" w:line="151" w:lineRule="exact"/>
        <w:rPr>
          <w:rFonts w:ascii="Arial" w:cs="Arial" w:eastAsia="Arial" w:hAnsi="Arial"/>
          <w:sz w:val="16"/>
          <w:szCs w:val="16"/>
          <w:color w:val="auto"/>
        </w:rPr>
      </w:pPr>
    </w:p>
    <w:p>
      <w:pPr>
        <w:ind w:left="284" w:hanging="284"/>
        <w:spacing w:after="0"/>
        <w:tabs>
          <w:tab w:leader="none" w:pos="284"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There is no substantive change to other terms and conditions of the lease</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These changes have not given rise to financial effects for the Group as of December 31, 2021.</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Specific policies applicable from January 2021 for Interest Rate Benchmark Reform - Phase 2 (Amendment to IFRS 9, IAS 39, IFRS 7, IFRS 4 and IFRS 16)</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 has initially adopted Interest Rate Benchmark Reform Phase 2 - Amendments to IFRS 9, IAS 39, IFRS 7, IFRS 4 and IFRS 16 (the Phase 2 amendments) from January 1, 2021.</w:t>
      </w:r>
    </w:p>
    <w:p>
      <w:pPr>
        <w:spacing w:after="0" w:line="15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Group has applied the Phase 2 amendments retrospectively. However, in accordance with the exceptions permitted in Phase 2 amendments, the Group has elected not to restate the prior period to reflect the application of these amendments, including not providing additional disclosures for 2020. There is no impact on opening equity balances as a result of retrospective application and the impact has considered not relevant to the Group.</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Under the detailed rules of IFRS 9 Financial Instruments, modifying a financial contract can require recognition of a significant gain or loss in the income statement. However, the amendments introduce a practical expedient if a change results directly from IBOR reform and occurs on an ‘economically equivalent’ basis. In these cases, changes will be accounted for by updating the effective interest rate.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 similar practical expedient will apply under IFRS 16 Leases for lessees when accounting for lease modifications required by IBOR reform.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amendments also allow a series of exemptions from the regular, strict rules around hedge accounting.</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To allow users of financial statements to understand the effect of the reform on a company’s financial instruments and risk management strategy, a company will need to provide additional information about:</w:t>
      </w:r>
    </w:p>
    <w:p>
      <w:pPr>
        <w:spacing w:after="0" w:line="152" w:lineRule="exact"/>
        <w:rPr>
          <w:sz w:val="20"/>
          <w:szCs w:val="20"/>
          <w:color w:val="auto"/>
        </w:rPr>
      </w:pPr>
    </w:p>
    <w:p>
      <w:pPr>
        <w:ind w:left="560" w:hanging="278"/>
        <w:spacing w:after="0"/>
        <w:tabs>
          <w:tab w:leader="none" w:pos="5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nature and extent of risks to which the company is exposed arising from financial instruments subject to IBOR reform and how it manages those risks; and</w:t>
      </w:r>
    </w:p>
    <w:p>
      <w:pPr>
        <w:spacing w:after="0" w:line="209" w:lineRule="exact"/>
        <w:rPr>
          <w:rFonts w:ascii="Arial" w:cs="Arial" w:eastAsia="Arial" w:hAnsi="Arial"/>
          <w:sz w:val="15"/>
          <w:szCs w:val="15"/>
          <w:color w:val="auto"/>
        </w:rPr>
      </w:pPr>
    </w:p>
    <w:p>
      <w:pPr>
        <w:ind w:left="560" w:hanging="27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company’s progress in completing its transition to alternative benchmark rates and how it is managing that transition.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evaluation performed by management determined that there was not significant impact in relation to the Group as of December 31,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Recent accounting pronouncements not yet adopted</w:t>
      </w:r>
    </w:p>
    <w:p>
      <w:pPr>
        <w:spacing w:after="0" w:line="202" w:lineRule="exact"/>
        <w:rPr>
          <w:sz w:val="20"/>
          <w:szCs w:val="20"/>
          <w:color w:val="auto"/>
        </w:rPr>
      </w:pPr>
    </w:p>
    <w:p>
      <w:pPr>
        <w:ind w:right="20"/>
        <w:spacing w:after="0" w:line="349" w:lineRule="auto"/>
        <w:rPr>
          <w:sz w:val="20"/>
          <w:szCs w:val="20"/>
          <w:color w:val="auto"/>
        </w:rPr>
      </w:pPr>
      <w:r>
        <w:rPr>
          <w:rFonts w:ascii="Arial" w:cs="Arial" w:eastAsia="Arial" w:hAnsi="Arial"/>
          <w:sz w:val="14"/>
          <w:szCs w:val="14"/>
          <w:color w:val="auto"/>
        </w:rPr>
        <w:t>Certain new accounting standards and interpretations have been published that are not mandatory for the year ended December 31, 2021 and have not been early adopted by the Group. These standards are not expected to have a material impact on the entity in the current or future reporting periods and on foreseeable future transactions.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As of the issue date of these consolidated financial statements, the following new and revised IFRS standards have been issued, but are not yet effective: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IFRS 10 and IAS 28 - Amendments - Sales or contributions of assets between an investor and its associate or joint venture.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IASB has made limited scope amendments to IFRS 10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IAS 28 </w:t>
      </w:r>
      <w:r>
        <w:rPr>
          <w:rFonts w:ascii="Arial" w:cs="Arial" w:eastAsia="Arial" w:hAnsi="Arial"/>
          <w:sz w:val="16"/>
          <w:szCs w:val="16"/>
          <w:i w:val="1"/>
          <w:iCs w:val="1"/>
          <w:color w:val="auto"/>
        </w:rPr>
        <w:t>Investments in associates and joint ventures</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The amendments clarify the accounting treatment for sales or contributions of assets between an investor and its associates or joint ventures. They confirm that the accounting treatment depends on whether the non-monetary assets sold or contributed to an associate or joint venture constitute a ‘business’ (as defined in IFRS 3 Business Combinations).</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Where the non-monetary assets constitute a business, the investor will recognize the full gain or loss on the sale or contribution of assets. If the assets do not meet the definition of a business, the gain or loss is recognized by the investor only to the extent of the other investor’s interests in the associate or joint venture. The amendments apply prospectively.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effective date of the amendments has not yet been set by the IASB; however, early application of the amendments is permitted.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Improvements to IFRS Standards 2018-2020 - Effective January 1, 2022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improvements were finalized in May 2020:</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 clarifies which fees should be included in the 10% test for derecognition of financial liabilities.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 xml:space="preserve">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 amendment of illustrative example 13 to remove the illustration of payments from the lessor relating to leasehold improvements, to remove any confusion about the treatment of lease incentives.</w:t>
      </w:r>
    </w:p>
    <w:p>
      <w:pPr>
        <w:spacing w:after="0" w:line="15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 xml:space="preserve">IFRS 1 </w:t>
      </w:r>
      <w:r>
        <w:rPr>
          <w:rFonts w:ascii="Arial" w:cs="Arial" w:eastAsia="Arial" w:hAnsi="Arial"/>
          <w:sz w:val="16"/>
          <w:szCs w:val="16"/>
          <w:i w:val="1"/>
          <w:iCs w:val="1"/>
          <w:color w:val="auto"/>
        </w:rPr>
        <w:t>First-time Adoption of International Financial Reporting Standards</w:t>
      </w:r>
      <w:r>
        <w:rPr>
          <w:rFonts w:ascii="Arial" w:cs="Arial" w:eastAsia="Arial" w:hAnsi="Arial"/>
          <w:sz w:val="16"/>
          <w:szCs w:val="16"/>
          <w:color w:val="auto"/>
        </w:rPr>
        <w:t xml:space="preserve"> – allows entities that have measured their assets and liabilities at carrying amounts recorded in their parent’s books to also measure any cumulative translation differences using the amounts reported by the parent. This amendment will also apply to associates and joint ventures that have taken the same IFRS 1 exemption.</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IAS 41 A</w:t>
      </w:r>
      <w:r>
        <w:rPr>
          <w:rFonts w:ascii="Arial" w:cs="Arial" w:eastAsia="Arial" w:hAnsi="Arial"/>
          <w:sz w:val="16"/>
          <w:szCs w:val="16"/>
          <w:i w:val="1"/>
          <w:iCs w:val="1"/>
          <w:color w:val="auto"/>
        </w:rPr>
        <w:t>griculture</w:t>
      </w:r>
      <w:r>
        <w:rPr>
          <w:rFonts w:ascii="Arial" w:cs="Arial" w:eastAsia="Arial" w:hAnsi="Arial"/>
          <w:sz w:val="16"/>
          <w:szCs w:val="16"/>
          <w:color w:val="auto"/>
        </w:rPr>
        <w:t xml:space="preserve"> – removal of the requirement for entities to exclude cash flows for taxation when measuring fair value under IAS 41. This amendment is intended to align with the requirement in the standard to discount cash flows on a post-tax basis.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Property, Plant and Equipment: Proceeds before Intended Use (Amendments to IAS 16) - Effective January 1, 2022</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 xml:space="preserve">The amendment to IAS 16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(“PP&amp;E”) prohibits an entity from deducting from the cost of an item of PP&amp;E any proceeds received from selling items produced while the entity is preparing the asset for its intended use. It also clarifies that an entity is ‘testing whether the asset is functioning properly’ when it assesses the technical and physical performance of the asset. The financial performance of the asset is not relevant to this assessment.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Entities must disclose separately the amounts of proceeds and costs relating to items produced that are not an output of the entity’s ordinary activities.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Classification of Liabilities as Current or Non-current (Amendments to IAS 1) - Effective January 1, 2022</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The narrow-scope amendments to IAS 1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clarify that liabilities are classified as either current or non-current, depending on the rights that exist at the end of the reporting period. Classification is unaffected by the expectations of the entity or events after the reporting date (e.g. the receipt of a waver or a breach of covenant).</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amendments also clarify what IAS 1 means when it refers to the ’settlement’ of a liability. The amendments could affect the classification of liabilities, particularly for entities that previously considered management’s intentions to determine classification and for some liabilities that can be converted into equity.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amendments must be applied retrospectively in accordance with the normal requirements in IAS 8 </w:t>
      </w:r>
      <w:r>
        <w:rPr>
          <w:rFonts w:ascii="Arial" w:cs="Arial" w:eastAsia="Arial" w:hAnsi="Arial"/>
          <w:sz w:val="15"/>
          <w:szCs w:val="15"/>
          <w:i w:val="1"/>
          <w:iCs w:val="1"/>
          <w:color w:val="auto"/>
        </w:rPr>
        <w:t>Accounting Policies, Changes in Accounting Estimates and Errors</w:t>
      </w:r>
      <w:r>
        <w:rPr>
          <w:rFonts w:ascii="Arial" w:cs="Arial" w:eastAsia="Arial" w:hAnsi="Arial"/>
          <w:sz w:val="15"/>
          <w:szCs w:val="15"/>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In May 2020, the IASB issued an Exposure Draft proposing to defer the effective date of the amendments to January 1, 2023.</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Reference to the Conceptual Framework – Amendments to IFRS 3 - Effective January 1, 2022</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 xml:space="preserve">Minor amendments were made to IFRS 3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 update the references to the Conceptual Framework for Financial Reporting and add an exception for the recognition of liabilities and contingent liabilities within the scope of IAS 37 </w:t>
      </w:r>
      <w:r>
        <w:rPr>
          <w:rFonts w:ascii="Arial" w:cs="Arial" w:eastAsia="Arial" w:hAnsi="Arial"/>
          <w:sz w:val="16"/>
          <w:szCs w:val="16"/>
          <w:i w:val="1"/>
          <w:iCs w:val="1"/>
          <w:color w:val="auto"/>
        </w:rPr>
        <w:t>Provisions, Contingent Liabilities and Contingent Assets</w:t>
      </w:r>
      <w:r>
        <w:rPr>
          <w:rFonts w:ascii="Arial" w:cs="Arial" w:eastAsia="Arial" w:hAnsi="Arial"/>
          <w:sz w:val="16"/>
          <w:szCs w:val="16"/>
          <w:color w:val="auto"/>
        </w:rPr>
        <w:t xml:space="preserve"> and Interpretation 21 </w:t>
      </w:r>
      <w:r>
        <w:rPr>
          <w:rFonts w:ascii="Arial" w:cs="Arial" w:eastAsia="Arial" w:hAnsi="Arial"/>
          <w:sz w:val="16"/>
          <w:szCs w:val="16"/>
          <w:i w:val="1"/>
          <w:iCs w:val="1"/>
          <w:color w:val="auto"/>
        </w:rPr>
        <w:t>Levies</w:t>
      </w:r>
      <w:r>
        <w:rPr>
          <w:rFonts w:ascii="Arial" w:cs="Arial" w:eastAsia="Arial" w:hAnsi="Arial"/>
          <w:sz w:val="16"/>
          <w:szCs w:val="16"/>
          <w:color w:val="auto"/>
        </w:rPr>
        <w:t>. The amendments also confirm that contingent assets should not be recognized at the acquisition date.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Onerous Contracts – Cost of Fulfilling a Contract - Amendments to IAS 37 - Effective January 1, 2022</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amendment to IAS 37 clarifies that the direct costs of fulfilling a contract include both the incremental costs of fulfilling the contract and an allocation of other costs directly related to fulfilling contracts. Before recognizing a separate provision for an onerous contract, the entity recognizes any impairment loss that has occurred on assets used in fulfilling the contract.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Revenue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The Group recognizes its revenues from the transfer of goods and services to the fulfillment of its performance obligations. The Group’s annual revenue includes $3,637 (2020:</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$2,213, 2019: $10,159) recognized from intellectual property licensing and dossier generation.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Products</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Group primarily engages in developing, producing and marketing pharmaceutical solutions. It is considered an integrated international healthcare and pharmaceutical company across the three core therapeutical areas: hospitals/clinics, pharmacies (prescription) and over-the-counter (non-prescription).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Group’s main products for the years ended December 31, 2021, 2020 and 2019 are:</w:t>
      </w:r>
    </w:p>
    <w:p>
      <w:pPr>
        <w:spacing w:after="0" w:line="198" w:lineRule="exact"/>
        <w:rPr>
          <w:sz w:val="20"/>
          <w:szCs w:val="20"/>
          <w:color w:val="auto"/>
        </w:rPr>
      </w:pPr>
    </w:p>
    <w:p>
      <w:pPr>
        <w:ind w:left="560" w:right="9360" w:hanging="278"/>
        <w:spacing w:after="0" w:line="498" w:lineRule="auto"/>
        <w:tabs>
          <w:tab w:leader="none" w:pos="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Business to Business </w:t>
      </w:r>
      <w:r>
        <w:rPr>
          <w:rFonts w:ascii="Arial" w:cs="Arial" w:eastAsia="Arial" w:hAnsi="Arial"/>
          <w:sz w:val="16"/>
          <w:szCs w:val="16"/>
          <w:i w:val="1"/>
          <w:iCs w:val="1"/>
          <w:color w:val="auto"/>
        </w:rPr>
        <w:t>Nextgel</w:t>
      </w:r>
    </w:p>
    <w:p>
      <w:pPr>
        <w:spacing w:after="0" w:line="1" w:lineRule="exact"/>
        <w:rPr>
          <w:rFonts w:ascii="Arial" w:cs="Arial" w:eastAsia="Arial" w:hAnsi="Arial"/>
          <w:sz w:val="16"/>
          <w:szCs w:val="16"/>
          <w:color w:val="auto"/>
        </w:rPr>
      </w:pPr>
    </w:p>
    <w:p>
      <w:pPr>
        <w:ind w:left="1140" w:hanging="284"/>
        <w:spacing w:after="0"/>
        <w:tabs>
          <w:tab w:leader="none" w:pos="11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Softigel: Integrated CMDO, soft gelatin capsules, softgels, gummy-gels and GTabs.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Business to Consumer</w:t>
      </w:r>
    </w:p>
    <w:p>
      <w:pPr>
        <w:spacing w:after="0" w:line="198"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i w:val="1"/>
          <w:iCs w:val="1"/>
          <w:color w:val="auto"/>
        </w:rPr>
        <w:t>Procaps Colombia, CAN and CASAND</w:t>
      </w:r>
    </w:p>
    <w:p>
      <w:pPr>
        <w:spacing w:after="0" w:line="198" w:lineRule="exact"/>
        <w:rPr>
          <w:rFonts w:ascii="Arial" w:cs="Arial" w:eastAsia="Arial" w:hAnsi="Arial"/>
          <w:sz w:val="16"/>
          <w:szCs w:val="16"/>
          <w:color w:val="auto"/>
        </w:rPr>
      </w:pPr>
    </w:p>
    <w:p>
      <w:pPr>
        <w:ind w:left="1140" w:hanging="284"/>
        <w:spacing w:after="0"/>
        <w:tabs>
          <w:tab w:leader="none" w:pos="11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VitalCare: Branded drugs, consumer over-the-counter and generics</w:t>
      </w:r>
    </w:p>
    <w:p>
      <w:pPr>
        <w:spacing w:after="0" w:line="198" w:lineRule="exact"/>
        <w:rPr>
          <w:rFonts w:ascii="Arial" w:cs="Arial" w:eastAsia="Arial" w:hAnsi="Arial"/>
          <w:sz w:val="16"/>
          <w:szCs w:val="16"/>
          <w:color w:val="auto"/>
        </w:rPr>
      </w:pPr>
    </w:p>
    <w:p>
      <w:pPr>
        <w:ind w:left="1140" w:hanging="284"/>
        <w:spacing w:after="0"/>
        <w:tabs>
          <w:tab w:leader="none" w:pos="11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Clinical Specialties: High-complexity drugs and medical devices</w:t>
      </w:r>
    </w:p>
    <w:p>
      <w:pPr>
        <w:spacing w:after="0" w:line="198" w:lineRule="exact"/>
        <w:rPr>
          <w:rFonts w:ascii="Arial" w:cs="Arial" w:eastAsia="Arial" w:hAnsi="Arial"/>
          <w:sz w:val="16"/>
          <w:szCs w:val="16"/>
          <w:color w:val="auto"/>
        </w:rPr>
      </w:pPr>
    </w:p>
    <w:p>
      <w:pPr>
        <w:ind w:left="1140" w:hanging="284"/>
        <w:spacing w:after="0"/>
        <w:tabs>
          <w:tab w:leader="none" w:pos="11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Farma: Branded prescription drugs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Diabetrics</w:t>
      </w:r>
    </w:p>
    <w:p>
      <w:pPr>
        <w:spacing w:after="0" w:line="198" w:lineRule="exact"/>
        <w:rPr>
          <w:sz w:val="20"/>
          <w:szCs w:val="20"/>
          <w:color w:val="auto"/>
        </w:rPr>
      </w:pPr>
    </w:p>
    <w:p>
      <w:pPr>
        <w:ind w:left="1140" w:hanging="284"/>
        <w:spacing w:after="0"/>
        <w:tabs>
          <w:tab w:leader="none" w:pos="11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Diabetrics: Diabetes solutions and chronic disease management tool</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 from contracts with customers</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Revenue from contracts with customers is disaggregated by primary geographical market and major products (refer to Note 8. Segment reporting) and by timing of revenue recognition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Reportable segments</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5"/>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8"/>
              </w:rPr>
              <w:t>Procaps</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Year 2021</w:t>
            </w:r>
          </w:p>
        </w:tc>
        <w:tc>
          <w:tcPr>
            <w:tcW w:w="11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NextGel</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Colombia</w:t>
            </w:r>
          </w:p>
        </w:tc>
        <w:tc>
          <w:tcPr>
            <w:tcW w:w="11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CAN</w:t>
            </w: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CASAND</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Diabetrics</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Corporate</w:t>
            </w:r>
          </w:p>
        </w:tc>
        <w:tc>
          <w:tcPr>
            <w:tcW w:w="10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r>
      <w:tr>
        <w:trPr>
          <w:trHeight w:val="191"/>
        </w:trPr>
        <w:tc>
          <w:tcPr>
            <w:tcW w:w="3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Segment revenue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244,791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156,820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67,842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68,242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47,835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585,530</w:t>
            </w:r>
          </w:p>
        </w:tc>
      </w:tr>
      <w:tr>
        <w:trPr>
          <w:trHeight w:val="207"/>
        </w:trPr>
        <w:tc>
          <w:tcPr>
            <w:tcW w:w="3500" w:type="dxa"/>
            <w:vAlign w:val="bottom"/>
            <w:gridSpan w:val="2"/>
          </w:tcPr>
          <w:p>
            <w:pPr>
              <w:spacing w:after="0"/>
              <w:rPr>
                <w:sz w:val="20"/>
                <w:szCs w:val="20"/>
                <w:color w:val="auto"/>
              </w:rPr>
            </w:pPr>
            <w:r>
              <w:rPr>
                <w:rFonts w:ascii="Arial" w:cs="Arial" w:eastAsia="Arial" w:hAnsi="Arial"/>
                <w:sz w:val="16"/>
                <w:szCs w:val="16"/>
                <w:color w:val="auto"/>
              </w:rPr>
              <w:t>Intra-segment revenue</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(123,964)</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(1,493)</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(16,905)</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(14,286)</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(19,140)</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(175,788)</w:t>
            </w:r>
          </w:p>
        </w:tc>
      </w:tr>
      <w:tr>
        <w:trPr>
          <w:trHeight w:val="195"/>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Revenue from contracts with customers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120,827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155,327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50,937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53,956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28,695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409,742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Timing of revenue recognition</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3500" w:type="dxa"/>
            <w:vAlign w:val="bottom"/>
            <w:gridSpan w:val="2"/>
          </w:tcPr>
          <w:p>
            <w:pPr>
              <w:spacing w:after="0"/>
              <w:rPr>
                <w:sz w:val="20"/>
                <w:szCs w:val="20"/>
                <w:color w:val="auto"/>
              </w:rPr>
            </w:pPr>
            <w:r>
              <w:rPr>
                <w:rFonts w:ascii="Arial" w:cs="Arial" w:eastAsia="Arial" w:hAnsi="Arial"/>
                <w:sz w:val="16"/>
                <w:szCs w:val="16"/>
                <w:color w:val="auto"/>
              </w:rPr>
              <w:t>Goods transferred at a point in time</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117,190</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155,327</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50,937</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53,956</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28,695</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406,105</w:t>
            </w:r>
          </w:p>
        </w:tc>
      </w:tr>
      <w:tr>
        <w:trPr>
          <w:trHeight w:val="22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Services transferred over time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3,637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3,637</w:t>
            </w:r>
          </w:p>
        </w:tc>
      </w:tr>
      <w:tr>
        <w:trPr>
          <w:trHeight w:val="179"/>
        </w:trPr>
        <w:tc>
          <w:tcPr>
            <w:tcW w:w="3500" w:type="dxa"/>
            <w:vAlign w:val="bottom"/>
            <w:tcBorders>
              <w:top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Total revenue from contracts with customers</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120,827</w:t>
            </w:r>
          </w:p>
        </w:tc>
        <w:tc>
          <w:tcPr>
            <w:tcW w:w="240" w:type="dxa"/>
            <w:vAlign w:val="bottom"/>
            <w:tcBorders>
              <w:top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155,327</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50,937</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53,956</w:t>
            </w: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28,695</w:t>
            </w: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409,742</w:t>
            </w:r>
          </w:p>
        </w:tc>
        <w:tc>
          <w:tcPr>
            <w:tcW w:w="120" w:type="dxa"/>
            <w:vAlign w:val="bottom"/>
            <w:tcBorders>
              <w:top w:val="single" w:sz="8" w:color="CCEEFF"/>
            </w:tcBorders>
          </w:tcPr>
          <w:p>
            <w:pPr>
              <w:spacing w:after="0"/>
              <w:rPr>
                <w:sz w:val="15"/>
                <w:szCs w:val="15"/>
                <w:color w:val="auto"/>
              </w:rPr>
            </w:pPr>
          </w:p>
        </w:tc>
      </w:tr>
      <w:tr>
        <w:trPr>
          <w:trHeight w:val="398"/>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Reportable segments</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5"/>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8"/>
              </w:rPr>
              <w:t>Procaps</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Year 2020</w:t>
            </w:r>
          </w:p>
        </w:tc>
        <w:tc>
          <w:tcPr>
            <w:tcW w:w="11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NextGel</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Colombia</w:t>
            </w:r>
          </w:p>
        </w:tc>
        <w:tc>
          <w:tcPr>
            <w:tcW w:w="11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CAN</w:t>
            </w: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CASAND</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Diabetrics</w:t>
            </w:r>
          </w:p>
        </w:tc>
        <w:tc>
          <w:tcPr>
            <w:tcW w:w="11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88"/>
              </w:rPr>
              <w:t>Corporate</w:t>
            </w:r>
          </w:p>
        </w:tc>
        <w:tc>
          <w:tcPr>
            <w:tcW w:w="10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r>
      <w:tr>
        <w:trPr>
          <w:trHeight w:val="191"/>
        </w:trPr>
        <w:tc>
          <w:tcPr>
            <w:tcW w:w="3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Segment revenue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201,294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121,532</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44,808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40,094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39,221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2,431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449,380</w:t>
            </w:r>
          </w:p>
        </w:tc>
      </w:tr>
      <w:tr>
        <w:trPr>
          <w:trHeight w:val="207"/>
        </w:trPr>
        <w:tc>
          <w:tcPr>
            <w:tcW w:w="3500" w:type="dxa"/>
            <w:vAlign w:val="bottom"/>
            <w:gridSpan w:val="2"/>
          </w:tcPr>
          <w:p>
            <w:pPr>
              <w:spacing w:after="0"/>
              <w:rPr>
                <w:sz w:val="20"/>
                <w:szCs w:val="20"/>
                <w:color w:val="auto"/>
              </w:rPr>
            </w:pPr>
            <w:r>
              <w:rPr>
                <w:rFonts w:ascii="Arial" w:cs="Arial" w:eastAsia="Arial" w:hAnsi="Arial"/>
                <w:sz w:val="16"/>
                <w:szCs w:val="16"/>
                <w:color w:val="auto"/>
              </w:rPr>
              <w:t>Intra-segment revenue</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(95,315)</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(6,637)</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805</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(1,538)</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(16,432)</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1,204</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(117,913)</w:t>
            </w:r>
          </w:p>
        </w:tc>
      </w:tr>
      <w:tr>
        <w:trPr>
          <w:trHeight w:val="195"/>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Revenue from contracts with customers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105,979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114,895</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45,613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38,556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22,789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3,635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331,467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Timing of revenue recognition</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3500" w:type="dxa"/>
            <w:vAlign w:val="bottom"/>
            <w:gridSpan w:val="2"/>
          </w:tcPr>
          <w:p>
            <w:pPr>
              <w:spacing w:after="0"/>
              <w:rPr>
                <w:sz w:val="20"/>
                <w:szCs w:val="20"/>
                <w:color w:val="auto"/>
              </w:rPr>
            </w:pPr>
            <w:r>
              <w:rPr>
                <w:rFonts w:ascii="Arial" w:cs="Arial" w:eastAsia="Arial" w:hAnsi="Arial"/>
                <w:sz w:val="16"/>
                <w:szCs w:val="16"/>
                <w:color w:val="auto"/>
              </w:rPr>
              <w:t>Goods transferred at a point in time</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103,766</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114,895</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45,613</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38,556</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22,789</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3,635</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329,254</w:t>
            </w:r>
          </w:p>
        </w:tc>
      </w:tr>
      <w:tr>
        <w:trPr>
          <w:trHeight w:val="22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Services transferred over time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2,213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2,213</w:t>
            </w:r>
          </w:p>
        </w:tc>
      </w:tr>
      <w:tr>
        <w:trPr>
          <w:trHeight w:val="179"/>
        </w:trPr>
        <w:tc>
          <w:tcPr>
            <w:tcW w:w="3500" w:type="dxa"/>
            <w:vAlign w:val="bottom"/>
            <w:tcBorders>
              <w:top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Total revenue from contracts with customers</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105,979</w:t>
            </w:r>
          </w:p>
        </w:tc>
        <w:tc>
          <w:tcPr>
            <w:tcW w:w="240" w:type="dxa"/>
            <w:vAlign w:val="bottom"/>
            <w:tcBorders>
              <w:top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114,895</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45,613</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38,556</w:t>
            </w: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22,789</w:t>
            </w: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3,635</w:t>
            </w: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331,467</w:t>
            </w:r>
          </w:p>
        </w:tc>
        <w:tc>
          <w:tcPr>
            <w:tcW w:w="120" w:type="dxa"/>
            <w:vAlign w:val="bottom"/>
            <w:tcBorders>
              <w:top w:val="single" w:sz="8" w:color="CCEEFF"/>
            </w:tcBorders>
          </w:tcPr>
          <w:p>
            <w:pPr>
              <w:spacing w:after="0"/>
              <w:rPr>
                <w:sz w:val="15"/>
                <w:szCs w:val="15"/>
                <w:color w:val="auto"/>
              </w:rPr>
            </w:pPr>
          </w:p>
        </w:tc>
      </w:tr>
      <w:tr>
        <w:trPr>
          <w:trHeight w:val="57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F-38</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2" w:right="31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Reportable segments</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420"/>
              <w:spacing w:after="0" w:line="175" w:lineRule="exact"/>
              <w:rPr>
                <w:sz w:val="20"/>
                <w:szCs w:val="20"/>
                <w:color w:val="auto"/>
              </w:rPr>
            </w:pPr>
            <w:r>
              <w:rPr>
                <w:rFonts w:ascii="Arial" w:cs="Arial" w:eastAsia="Arial" w:hAnsi="Arial"/>
                <w:sz w:val="16"/>
                <w:szCs w:val="16"/>
                <w:b w:val="1"/>
                <w:bCs w:val="1"/>
                <w:color w:val="auto"/>
              </w:rPr>
              <w:t>Procaps</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2"/>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Year 2019</w:t>
            </w:r>
          </w:p>
        </w:tc>
        <w:tc>
          <w:tcPr>
            <w:tcW w:w="11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NextGel</w:t>
            </w:r>
          </w:p>
        </w:tc>
        <w:tc>
          <w:tcPr>
            <w:tcW w:w="11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Colombia</w:t>
            </w:r>
          </w:p>
        </w:tc>
        <w:tc>
          <w:tcPr>
            <w:tcW w:w="11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CAN</w:t>
            </w: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CASAND</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Diabetrics</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Corporate</w:t>
            </w:r>
          </w:p>
        </w:tc>
        <w:tc>
          <w:tcPr>
            <w:tcW w:w="100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Total</w:t>
            </w:r>
          </w:p>
        </w:tc>
      </w:tr>
      <w:tr>
        <w:trPr>
          <w:trHeight w:val="191"/>
        </w:trPr>
        <w:tc>
          <w:tcPr>
            <w:tcW w:w="3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Segment revenue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192,247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124,090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54,628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42,332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36,931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11,637</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461,865</w:t>
            </w:r>
          </w:p>
        </w:tc>
        <w:tc>
          <w:tcPr>
            <w:tcW w:w="100" w:type="dxa"/>
            <w:vAlign w:val="bottom"/>
            <w:shd w:val="clear" w:color="auto" w:fill="CCEEFF"/>
          </w:tcPr>
          <w:p>
            <w:pPr>
              <w:spacing w:after="0"/>
              <w:rPr>
                <w:sz w:val="16"/>
                <w:szCs w:val="16"/>
                <w:color w:val="auto"/>
              </w:rPr>
            </w:pPr>
          </w:p>
        </w:tc>
      </w:tr>
      <w:tr>
        <w:trPr>
          <w:trHeight w:val="207"/>
        </w:trPr>
        <w:tc>
          <w:tcPr>
            <w:tcW w:w="3500" w:type="dxa"/>
            <w:vAlign w:val="bottom"/>
            <w:gridSpan w:val="2"/>
          </w:tcPr>
          <w:p>
            <w:pPr>
              <w:spacing w:after="0"/>
              <w:rPr>
                <w:sz w:val="20"/>
                <w:szCs w:val="20"/>
                <w:color w:val="auto"/>
              </w:rPr>
            </w:pPr>
            <w:r>
              <w:rPr>
                <w:rFonts w:ascii="Arial" w:cs="Arial" w:eastAsia="Arial" w:hAnsi="Arial"/>
                <w:sz w:val="16"/>
                <w:szCs w:val="16"/>
                <w:color w:val="auto"/>
              </w:rPr>
              <w:t>Intra-segment revenue</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(94,958)</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(3,977)</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(4,949)</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(2,271)</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(14,703)</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(16,215)</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(137,073)</w:t>
            </w:r>
          </w:p>
        </w:tc>
      </w:tr>
      <w:tr>
        <w:trPr>
          <w:trHeight w:val="195"/>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Revenue from contracts with customers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97,289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120,113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49,679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40,061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22,228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(4,578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324,792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Timing of revenue recognition</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3500" w:type="dxa"/>
            <w:vAlign w:val="bottom"/>
            <w:gridSpan w:val="2"/>
          </w:tcPr>
          <w:p>
            <w:pPr>
              <w:spacing w:after="0"/>
              <w:rPr>
                <w:sz w:val="20"/>
                <w:szCs w:val="20"/>
                <w:color w:val="auto"/>
              </w:rPr>
            </w:pPr>
            <w:r>
              <w:rPr>
                <w:rFonts w:ascii="Arial" w:cs="Arial" w:eastAsia="Arial" w:hAnsi="Arial"/>
                <w:sz w:val="16"/>
                <w:szCs w:val="16"/>
                <w:color w:val="auto"/>
              </w:rPr>
              <w:t>Goods transferred at a point in time</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94,964</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112,279</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49,679</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40,061</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22,228</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(4,578)</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314,633</w:t>
            </w:r>
          </w:p>
        </w:tc>
        <w:tc>
          <w:tcPr>
            <w:tcW w:w="100" w:type="dxa"/>
            <w:vAlign w:val="bottom"/>
          </w:tcPr>
          <w:p>
            <w:pPr>
              <w:spacing w:after="0"/>
              <w:rPr>
                <w:sz w:val="16"/>
                <w:szCs w:val="16"/>
                <w:color w:val="auto"/>
              </w:rPr>
            </w:pPr>
          </w:p>
        </w:tc>
      </w:tr>
      <w:tr>
        <w:trPr>
          <w:trHeight w:val="22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Services transferred over time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2,325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7,834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10,159</w:t>
            </w:r>
          </w:p>
        </w:tc>
        <w:tc>
          <w:tcPr>
            <w:tcW w:w="100" w:type="dxa"/>
            <w:vAlign w:val="bottom"/>
            <w:shd w:val="clear" w:color="auto" w:fill="CCEEFF"/>
          </w:tcPr>
          <w:p>
            <w:pPr>
              <w:spacing w:after="0"/>
              <w:rPr>
                <w:sz w:val="19"/>
                <w:szCs w:val="19"/>
                <w:color w:val="auto"/>
              </w:rPr>
            </w:pPr>
          </w:p>
        </w:tc>
      </w:tr>
      <w:tr>
        <w:trPr>
          <w:trHeight w:val="179"/>
        </w:trPr>
        <w:tc>
          <w:tcPr>
            <w:tcW w:w="3500" w:type="dxa"/>
            <w:vAlign w:val="bottom"/>
            <w:tcBorders>
              <w:top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Total revenue from contracts with customers</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97,289</w:t>
            </w:r>
          </w:p>
        </w:tc>
        <w:tc>
          <w:tcPr>
            <w:tcW w:w="240" w:type="dxa"/>
            <w:vAlign w:val="bottom"/>
            <w:tcBorders>
              <w:top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120,113</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49,679</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40,061</w:t>
            </w: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22,228</w:t>
            </w: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(4,578</w:t>
            </w:r>
          </w:p>
        </w:tc>
        <w:tc>
          <w:tcPr>
            <w:tcW w:w="220" w:type="dxa"/>
            <w:vAlign w:val="bottom"/>
            <w:tcBorders>
              <w:top w:val="single" w:sz="8" w:color="CCEEFF"/>
            </w:tcBorders>
          </w:tcPr>
          <w:p>
            <w:pPr>
              <w:jc w:val="right"/>
              <w:ind w:right="80"/>
              <w:spacing w:after="0" w:line="175" w:lineRule="exact"/>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324,792</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Revenue recognized from goods transferred at a point in time include revenues related to “sales of goods” and “sales of trademarks and sanitary provisions”. Revenue recognized from services transferred over time include revenues related to “intellectual property licensing” and “dossier generation”. Revenues, other than sales of goods, are not material to the group.</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Segment reporting</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Segment information is presented at a combination of geographical segments and business units, consistent with the information that is available and evaluated regularly by the chief operating decision maker.</w:t>
      </w:r>
    </w:p>
    <w:p>
      <w:pPr>
        <w:spacing w:after="0" w:line="15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Group operates its business through five segments which are its reportable segments for financial reporting purposes: Procaps Colombia, Central America North (“CAN”), Central America South and North Andes (“CASAND”), NextGel and Diabetrics. Segment management, the respective Vice Presidents, are responsible for managing performance, underlying risks and operations. Management uses a broad set of performance indicators, to measure segment performance and to make decisions around resource allocation.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Group’s customer revenue recognition (external revenue) policy has been consistent with inter-segment revenue generated.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NextGel</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88"/>
              </w:rPr>
              <w:t>Procaps Colombia</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CAN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CASAND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center"/>
              <w:ind w:right="140"/>
              <w:spacing w:after="0" w:line="175" w:lineRule="exact"/>
              <w:rPr>
                <w:sz w:val="20"/>
                <w:szCs w:val="20"/>
                <w:color w:val="auto"/>
              </w:rPr>
            </w:pPr>
            <w:r>
              <w:rPr>
                <w:rFonts w:ascii="Arial" w:cs="Arial" w:eastAsia="Arial" w:hAnsi="Arial"/>
                <w:sz w:val="16"/>
                <w:szCs w:val="16"/>
                <w:b w:val="1"/>
                <w:bCs w:val="1"/>
                <w:color w:val="auto"/>
                <w:w w:val="99"/>
              </w:rPr>
              <w:t>Inter-</w:t>
            </w: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center"/>
              <w:ind w:right="180"/>
              <w:spacing w:after="0" w:line="175" w:lineRule="exact"/>
              <w:rPr>
                <w:sz w:val="20"/>
                <w:szCs w:val="20"/>
                <w:color w:val="auto"/>
              </w:rPr>
            </w:pPr>
            <w:r>
              <w:rPr>
                <w:rFonts w:ascii="Arial" w:cs="Arial" w:eastAsia="Arial" w:hAnsi="Arial"/>
                <w:sz w:val="16"/>
                <w:szCs w:val="16"/>
                <w:b w:val="1"/>
                <w:bCs w:val="1"/>
                <w:color w:val="auto"/>
                <w:w w:val="99"/>
              </w:rPr>
              <w:t>Inter-</w:t>
            </w: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center"/>
              <w:ind w:right="160"/>
              <w:spacing w:after="0" w:line="175" w:lineRule="exact"/>
              <w:rPr>
                <w:sz w:val="20"/>
                <w:szCs w:val="20"/>
                <w:color w:val="auto"/>
              </w:rPr>
            </w:pPr>
            <w:r>
              <w:rPr>
                <w:rFonts w:ascii="Arial" w:cs="Arial" w:eastAsia="Arial" w:hAnsi="Arial"/>
                <w:sz w:val="16"/>
                <w:szCs w:val="16"/>
                <w:b w:val="1"/>
                <w:bCs w:val="1"/>
                <w:color w:val="auto"/>
                <w:w w:val="99"/>
              </w:rPr>
              <w:t>Inter-</w:t>
            </w:r>
          </w:p>
        </w:tc>
        <w:tc>
          <w:tcPr>
            <w:tcW w:w="6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center"/>
              <w:ind w:right="180"/>
              <w:spacing w:after="0" w:line="175" w:lineRule="exact"/>
              <w:rPr>
                <w:sz w:val="20"/>
                <w:szCs w:val="20"/>
                <w:color w:val="auto"/>
              </w:rPr>
            </w:pPr>
            <w:r>
              <w:rPr>
                <w:rFonts w:ascii="Arial" w:cs="Arial" w:eastAsia="Arial" w:hAnsi="Arial"/>
                <w:sz w:val="16"/>
                <w:szCs w:val="16"/>
                <w:b w:val="1"/>
                <w:bCs w:val="1"/>
                <w:color w:val="auto"/>
                <w:w w:val="94"/>
              </w:rPr>
              <w:t>Inter-</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5"/>
              </w:rPr>
              <w:t>segment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segment</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5"/>
              </w:rPr>
              <w:t>segment</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5"/>
              </w:rPr>
              <w:t>segment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Year 2021</w:t>
            </w:r>
          </w:p>
        </w:tc>
        <w:tc>
          <w:tcPr>
            <w:tcW w:w="7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Total</w:t>
            </w: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eliminations</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4"/>
              </w:rPr>
              <w:t>External</w:t>
            </w:r>
          </w:p>
        </w:tc>
        <w:tc>
          <w:tcPr>
            <w:tcW w:w="8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Total</w:t>
            </w: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eliminations</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8"/>
              </w:rPr>
              <w:t>External</w:t>
            </w:r>
          </w:p>
        </w:tc>
        <w:tc>
          <w:tcPr>
            <w:tcW w:w="76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eliminations</w:t>
            </w: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External</w:t>
            </w:r>
          </w:p>
        </w:tc>
        <w:tc>
          <w:tcPr>
            <w:tcW w:w="68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0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eliminations</w:t>
            </w: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rPr>
              <w:t>External</w:t>
            </w:r>
          </w:p>
        </w:tc>
      </w:tr>
      <w:tr>
        <w:trPr>
          <w:trHeight w:val="191"/>
        </w:trPr>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1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244,791</w:t>
            </w: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(123,964)</w:t>
            </w: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120,827</w:t>
            </w: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156,820</w:t>
            </w:r>
          </w:p>
        </w:tc>
        <w:tc>
          <w:tcPr>
            <w:tcW w:w="1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w:t>
            </w: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155,327</w:t>
            </w: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67,842</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(16,905)</w:t>
            </w:r>
          </w:p>
        </w:tc>
        <w:tc>
          <w:tcPr>
            <w:tcW w:w="1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85"/>
              </w:rPr>
              <w:t>50,937</w:t>
            </w:r>
          </w:p>
        </w:tc>
        <w:tc>
          <w:tcPr>
            <w:tcW w:w="1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68,242</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(14,286)</w:t>
            </w: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w w:val="81"/>
              </w:rPr>
              <w:t>53,956</w:t>
            </w:r>
          </w:p>
        </w:tc>
        <w:tc>
          <w:tcPr>
            <w:tcW w:w="100" w:type="dxa"/>
            <w:vAlign w:val="bottom"/>
            <w:tcBorders>
              <w:top w:val="single" w:sz="8" w:color="CCEEFF"/>
            </w:tcBorders>
            <w:shd w:val="clear" w:color="auto" w:fill="CCEEFF"/>
          </w:tcPr>
          <w:p>
            <w:pPr>
              <w:spacing w:after="0"/>
              <w:rPr>
                <w:sz w:val="16"/>
                <w:szCs w:val="16"/>
                <w:color w:val="auto"/>
              </w:rPr>
            </w:pPr>
          </w:p>
        </w:tc>
      </w:tr>
      <w:tr>
        <w:trPr>
          <w:trHeight w:val="182"/>
        </w:trPr>
        <w:tc>
          <w:tcPr>
            <w:tcW w:w="1080" w:type="dxa"/>
            <w:vAlign w:val="bottom"/>
            <w:gridSpan w:val="2"/>
          </w:tcPr>
          <w:p>
            <w:pPr>
              <w:spacing w:after="0" w:line="182" w:lineRule="exact"/>
              <w:rPr>
                <w:sz w:val="20"/>
                <w:szCs w:val="20"/>
                <w:color w:val="auto"/>
              </w:rPr>
            </w:pPr>
            <w:r>
              <w:rPr>
                <w:rFonts w:ascii="Arial" w:cs="Arial" w:eastAsia="Arial" w:hAnsi="Arial"/>
                <w:sz w:val="16"/>
                <w:szCs w:val="16"/>
                <w:color w:val="auto"/>
              </w:rPr>
              <w:t>Contribution</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6"/>
        </w:trPr>
        <w:tc>
          <w:tcPr>
            <w:tcW w:w="1080" w:type="dxa"/>
            <w:vAlign w:val="bottom"/>
            <w:gridSpan w:val="2"/>
          </w:tcPr>
          <w:p>
            <w:pPr>
              <w:ind w:left="14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6"/>
                <w:szCs w:val="26"/>
                <w:color w:val="auto"/>
                <w:vertAlign w:val="superscript"/>
              </w:rPr>
              <w:t>1</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66,679</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(12,573)</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54,106</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51,431</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490</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51,921</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18,767</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(231)</w:t>
            </w:r>
          </w:p>
        </w:tc>
        <w:tc>
          <w:tcPr>
            <w:tcW w:w="800" w:type="dxa"/>
            <w:vAlign w:val="bottom"/>
            <w:gridSpan w:val="2"/>
          </w:tcPr>
          <w:p>
            <w:pPr>
              <w:ind w:left="180"/>
              <w:spacing w:after="0"/>
              <w:rPr>
                <w:sz w:val="20"/>
                <w:szCs w:val="20"/>
                <w:color w:val="auto"/>
              </w:rPr>
            </w:pPr>
            <w:r>
              <w:rPr>
                <w:rFonts w:ascii="Arial" w:cs="Arial" w:eastAsia="Arial" w:hAnsi="Arial"/>
                <w:sz w:val="16"/>
                <w:szCs w:val="16"/>
                <w:color w:val="auto"/>
              </w:rPr>
              <w:t>18,536</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9,949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11,754</w:t>
            </w:r>
          </w:p>
        </w:tc>
        <w:tc>
          <w:tcPr>
            <w:tcW w:w="180" w:type="dxa"/>
            <w:vAlign w:val="bottom"/>
          </w:tcPr>
          <w:p>
            <w:pPr>
              <w:spacing w:after="0"/>
              <w:rPr>
                <w:sz w:val="24"/>
                <w:szCs w:val="24"/>
                <w:color w:val="auto"/>
              </w:rPr>
            </w:pPr>
          </w:p>
        </w:tc>
        <w:tc>
          <w:tcPr>
            <w:tcW w:w="740" w:type="dxa"/>
            <w:vAlign w:val="bottom"/>
            <w:gridSpan w:val="2"/>
          </w:tcPr>
          <w:p>
            <w:pPr>
              <w:ind w:left="220"/>
              <w:spacing w:after="0"/>
              <w:rPr>
                <w:sz w:val="20"/>
                <w:szCs w:val="20"/>
                <w:color w:val="auto"/>
              </w:rPr>
            </w:pPr>
            <w:r>
              <w:rPr>
                <w:rFonts w:ascii="Arial" w:cs="Arial" w:eastAsia="Arial" w:hAnsi="Arial"/>
                <w:sz w:val="16"/>
                <w:szCs w:val="16"/>
                <w:color w:val="auto"/>
              </w:rPr>
              <w:t>21,703</w:t>
            </w:r>
          </w:p>
        </w:tc>
      </w:tr>
      <w:tr>
        <w:trPr>
          <w:trHeight w:val="468"/>
        </w:trPr>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F-39</w:t>
            </w: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2" w:right="319" w:bottom="1440" w:gutter="0" w:footer="0" w:header="0"/>
        </w:sectPr>
      </w:pPr>
    </w:p>
    <w:bookmarkStart w:id="164" w:name="page165"/>
    <w:bookmarkEnd w:id="164"/>
    <w:p>
      <w:pPr>
        <w:jc w:val="center"/>
        <w:ind w:right="20"/>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6"/>
                <w:szCs w:val="16"/>
                <w:b w:val="1"/>
                <w:bCs w:val="1"/>
                <w:color w:val="auto"/>
                <w:w w:val="90"/>
              </w:rPr>
              <w:t>Diabetrics</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4"/>
              </w:rPr>
              <w:t>Corporate</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6"/>
                <w:szCs w:val="16"/>
                <w:b w:val="1"/>
                <w:bCs w:val="1"/>
                <w:color w:val="auto"/>
                <w:w w:val="88"/>
              </w:rPr>
              <w:t>Total</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75"/>
        </w:trPr>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8"/>
          </w:tcPr>
          <w:p>
            <w:pPr>
              <w:jc w:val="center"/>
              <w:ind w:right="420"/>
              <w:spacing w:after="0" w:line="175" w:lineRule="exact"/>
              <w:rPr>
                <w:sz w:val="20"/>
                <w:szCs w:val="20"/>
                <w:color w:val="auto"/>
              </w:rPr>
            </w:pPr>
            <w:r>
              <w:rPr>
                <w:rFonts w:ascii="Arial" w:cs="Arial" w:eastAsia="Arial" w:hAnsi="Arial"/>
                <w:sz w:val="16"/>
                <w:szCs w:val="16"/>
                <w:b w:val="1"/>
                <w:bCs w:val="1"/>
                <w:color w:val="auto"/>
                <w:w w:val="99"/>
              </w:rPr>
              <w:t>Inter-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jc w:val="center"/>
              <w:ind w:left="120"/>
              <w:spacing w:after="0" w:line="175" w:lineRule="exact"/>
              <w:rPr>
                <w:sz w:val="20"/>
                <w:szCs w:val="20"/>
                <w:color w:val="auto"/>
              </w:rPr>
            </w:pPr>
            <w:r>
              <w:rPr>
                <w:rFonts w:ascii="Arial" w:cs="Arial" w:eastAsia="Arial" w:hAnsi="Arial"/>
                <w:sz w:val="16"/>
                <w:szCs w:val="16"/>
                <w:b w:val="1"/>
                <w:bCs w:val="1"/>
                <w:color w:val="auto"/>
                <w:w w:val="99"/>
              </w:rPr>
              <w:t>Inter-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4"/>
          </w:tcPr>
          <w:p>
            <w:pPr>
              <w:jc w:val="center"/>
              <w:ind w:right="480"/>
              <w:spacing w:after="0" w:line="175" w:lineRule="exact"/>
              <w:rPr>
                <w:sz w:val="20"/>
                <w:szCs w:val="20"/>
                <w:color w:val="auto"/>
              </w:rPr>
            </w:pPr>
            <w:r>
              <w:rPr>
                <w:rFonts w:ascii="Arial" w:cs="Arial" w:eastAsia="Arial" w:hAnsi="Arial"/>
                <w:sz w:val="16"/>
                <w:szCs w:val="16"/>
                <w:b w:val="1"/>
                <w:bCs w:val="1"/>
                <w:color w:val="auto"/>
                <w:w w:val="99"/>
              </w:rPr>
              <w:t>Inter-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1"/>
        </w:trPr>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9"/>
          </w:tcPr>
          <w:p>
            <w:pPr>
              <w:jc w:val="center"/>
              <w:ind w:right="220"/>
              <w:spacing w:after="0"/>
              <w:rPr>
                <w:sz w:val="20"/>
                <w:szCs w:val="20"/>
                <w:color w:val="auto"/>
              </w:rPr>
            </w:pPr>
            <w:r>
              <w:rPr>
                <w:rFonts w:ascii="Arial" w:cs="Arial" w:eastAsia="Arial" w:hAnsi="Arial"/>
                <w:sz w:val="16"/>
                <w:szCs w:val="16"/>
                <w:b w:val="1"/>
                <w:bCs w:val="1"/>
                <w:color w:val="auto"/>
                <w:w w:val="85"/>
              </w:rPr>
              <w:t>segment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6"/>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85"/>
              </w:rPr>
              <w:t>segment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Year 2021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ind w:left="200"/>
              <w:spacing w:after="0"/>
              <w:rPr>
                <w:sz w:val="20"/>
                <w:szCs w:val="20"/>
                <w:color w:val="auto"/>
              </w:rPr>
            </w:pPr>
            <w:r>
              <w:rPr>
                <w:rFonts w:ascii="Arial" w:cs="Arial" w:eastAsia="Arial" w:hAnsi="Arial"/>
                <w:sz w:val="16"/>
                <w:szCs w:val="16"/>
                <w:b w:val="1"/>
                <w:bCs w:val="1"/>
                <w:color w:val="auto"/>
                <w:w w:val="88"/>
              </w:rPr>
              <w:t>Total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9"/>
          </w:tcPr>
          <w:p>
            <w:pPr>
              <w:jc w:val="center"/>
              <w:ind w:right="220"/>
              <w:spacing w:after="0"/>
              <w:rPr>
                <w:sz w:val="20"/>
                <w:szCs w:val="20"/>
                <w:color w:val="auto"/>
              </w:rPr>
            </w:pPr>
            <w:r>
              <w:rPr>
                <w:rFonts w:ascii="Arial" w:cs="Arial" w:eastAsia="Arial" w:hAnsi="Arial"/>
                <w:sz w:val="16"/>
                <w:szCs w:val="16"/>
                <w:b w:val="1"/>
                <w:bCs w:val="1"/>
                <w:color w:val="auto"/>
                <w:w w:val="89"/>
              </w:rPr>
              <w:t>eliminations</w:t>
            </w:r>
          </w:p>
        </w:tc>
        <w:tc>
          <w:tcPr>
            <w:tcW w:w="1100" w:type="dxa"/>
            <w:vAlign w:val="bottom"/>
            <w:gridSpan w:val="8"/>
          </w:tcPr>
          <w:p>
            <w:pPr>
              <w:ind w:left="80"/>
              <w:spacing w:after="0"/>
              <w:rPr>
                <w:sz w:val="20"/>
                <w:szCs w:val="20"/>
                <w:color w:val="auto"/>
              </w:rPr>
            </w:pPr>
            <w:r>
              <w:rPr>
                <w:rFonts w:ascii="Arial" w:cs="Arial" w:eastAsia="Arial" w:hAnsi="Arial"/>
                <w:sz w:val="16"/>
                <w:szCs w:val="16"/>
                <w:b w:val="1"/>
                <w:bCs w:val="1"/>
                <w:color w:val="auto"/>
              </w:rPr>
              <w:t>External</w:t>
            </w:r>
          </w:p>
        </w:tc>
        <w:tc>
          <w:tcPr>
            <w:tcW w:w="880" w:type="dxa"/>
            <w:vAlign w:val="bottom"/>
            <w:gridSpan w:val="5"/>
          </w:tcPr>
          <w:p>
            <w:pPr>
              <w:ind w:left="100"/>
              <w:spacing w:after="0"/>
              <w:rPr>
                <w:sz w:val="20"/>
                <w:szCs w:val="20"/>
                <w:color w:val="auto"/>
              </w:rPr>
            </w:pPr>
            <w:r>
              <w:rPr>
                <w:rFonts w:ascii="Arial" w:cs="Arial" w:eastAsia="Arial" w:hAnsi="Arial"/>
                <w:sz w:val="16"/>
                <w:szCs w:val="16"/>
                <w:b w:val="1"/>
                <w:bCs w:val="1"/>
                <w:color w:val="auto"/>
              </w:rPr>
              <w:t>Total</w:t>
            </w:r>
          </w:p>
        </w:tc>
        <w:tc>
          <w:tcPr>
            <w:tcW w:w="900" w:type="dxa"/>
            <w:vAlign w:val="bottom"/>
            <w:gridSpan w:val="6"/>
          </w:tcPr>
          <w:p>
            <w:pPr>
              <w:jc w:val="center"/>
              <w:spacing w:after="0"/>
              <w:rPr>
                <w:sz w:val="20"/>
                <w:szCs w:val="20"/>
                <w:color w:val="auto"/>
              </w:rPr>
            </w:pPr>
            <w:r>
              <w:rPr>
                <w:rFonts w:ascii="Arial" w:cs="Arial" w:eastAsia="Arial" w:hAnsi="Arial"/>
                <w:sz w:val="16"/>
                <w:szCs w:val="16"/>
                <w:b w:val="1"/>
                <w:bCs w:val="1"/>
                <w:color w:val="auto"/>
                <w:w w:val="89"/>
              </w:rPr>
              <w:t>eliminations</w:t>
            </w:r>
          </w:p>
        </w:tc>
        <w:tc>
          <w:tcPr>
            <w:tcW w:w="160" w:type="dxa"/>
            <w:vAlign w:val="bottom"/>
          </w:tcPr>
          <w:p>
            <w:pPr>
              <w:spacing w:after="0"/>
              <w:rPr>
                <w:sz w:val="18"/>
                <w:szCs w:val="18"/>
                <w:color w:val="auto"/>
              </w:rPr>
            </w:pPr>
          </w:p>
        </w:tc>
        <w:tc>
          <w:tcPr>
            <w:tcW w:w="680" w:type="dxa"/>
            <w:vAlign w:val="bottom"/>
            <w:gridSpan w:val="3"/>
          </w:tcPr>
          <w:p>
            <w:pPr>
              <w:ind w:left="80"/>
              <w:spacing w:after="0"/>
              <w:rPr>
                <w:sz w:val="20"/>
                <w:szCs w:val="20"/>
                <w:color w:val="auto"/>
              </w:rPr>
            </w:pPr>
            <w:r>
              <w:rPr>
                <w:rFonts w:ascii="Arial" w:cs="Arial" w:eastAsia="Arial" w:hAnsi="Arial"/>
                <w:sz w:val="16"/>
                <w:szCs w:val="16"/>
                <w:b w:val="1"/>
                <w:bCs w:val="1"/>
                <w:color w:val="auto"/>
                <w:w w:val="91"/>
              </w:rPr>
              <w:t>External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ind w:left="220"/>
              <w:spacing w:after="0"/>
              <w:rPr>
                <w:sz w:val="20"/>
                <w:szCs w:val="20"/>
                <w:color w:val="auto"/>
              </w:rPr>
            </w:pPr>
            <w:r>
              <w:rPr>
                <w:rFonts w:ascii="Arial" w:cs="Arial" w:eastAsia="Arial" w:hAnsi="Arial"/>
                <w:sz w:val="16"/>
                <w:szCs w:val="16"/>
                <w:b w:val="1"/>
                <w:bCs w:val="1"/>
                <w:color w:val="auto"/>
                <w:w w:val="94"/>
              </w:rPr>
              <w:t>Total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89"/>
              </w:rPr>
              <w:t>eliminations</w:t>
            </w:r>
          </w:p>
        </w:tc>
        <w:tc>
          <w:tcPr>
            <w:tcW w:w="80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w w:val="91"/>
              </w:rPr>
              <w:t>External</w:t>
            </w:r>
          </w:p>
        </w:tc>
      </w:tr>
      <w:tr>
        <w:trPr>
          <w:trHeight w:val="191"/>
        </w:trPr>
        <w:tc>
          <w:tcPr>
            <w:tcW w:w="11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Revenue</w:t>
            </w: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47,835</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7"/>
              </w:rPr>
              <w:t>(19,140)</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28,695</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585,530</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(175,788)</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6"/>
              </w:rPr>
              <w:t>409,742</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27"/>
        </w:trPr>
        <w:tc>
          <w:tcPr>
            <w:tcW w:w="1800" w:type="dxa"/>
            <w:vAlign w:val="bottom"/>
            <w:gridSpan w:val="5"/>
          </w:tcPr>
          <w:p>
            <w:pPr>
              <w:spacing w:after="0" w:line="227" w:lineRule="exact"/>
              <w:rPr>
                <w:sz w:val="20"/>
                <w:szCs w:val="20"/>
                <w:color w:val="auto"/>
              </w:rPr>
            </w:pPr>
            <w:r>
              <w:rPr>
                <w:rFonts w:ascii="Arial" w:cs="Arial" w:eastAsia="Arial" w:hAnsi="Arial"/>
                <w:sz w:val="16"/>
                <w:szCs w:val="16"/>
                <w:color w:val="auto"/>
              </w:rPr>
              <w:t xml:space="preserve">Contribution margin </w:t>
            </w:r>
            <w:r>
              <w:rPr>
                <w:rFonts w:ascii="Arial" w:cs="Arial" w:eastAsia="Arial" w:hAnsi="Arial"/>
                <w:sz w:val="26"/>
                <w:szCs w:val="26"/>
                <w:color w:val="auto"/>
                <w:vertAlign w:val="superscript"/>
              </w:rPr>
              <w:t>1</w:t>
            </w:r>
          </w:p>
        </w:tc>
        <w:tc>
          <w:tcPr>
            <w:tcW w:w="1440" w:type="dxa"/>
            <w:vAlign w:val="bottom"/>
            <w:gridSpan w:val="7"/>
          </w:tcPr>
          <w:p>
            <w:pPr>
              <w:jc w:val="right"/>
              <w:ind w:right="200"/>
              <w:spacing w:after="0"/>
              <w:rPr>
                <w:sz w:val="20"/>
                <w:szCs w:val="20"/>
                <w:color w:val="auto"/>
              </w:rPr>
            </w:pPr>
            <w:r>
              <w:rPr>
                <w:rFonts w:ascii="Arial" w:cs="Arial" w:eastAsia="Arial" w:hAnsi="Arial"/>
                <w:sz w:val="16"/>
                <w:szCs w:val="16"/>
                <w:color w:val="auto"/>
              </w:rPr>
              <w:t>6,981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6"/>
                <w:szCs w:val="16"/>
                <w:color w:val="auto"/>
              </w:rPr>
              <w:t>(133)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6,848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6"/>
          </w:tcPr>
          <w:p>
            <w:pPr>
              <w:jc w:val="right"/>
              <w:spacing w:after="0"/>
              <w:rPr>
                <w:sz w:val="20"/>
                <w:szCs w:val="20"/>
                <w:color w:val="auto"/>
              </w:rPr>
            </w:pPr>
            <w:r>
              <w:rPr>
                <w:rFonts w:ascii="Arial" w:cs="Arial" w:eastAsia="Arial" w:hAnsi="Arial"/>
                <w:sz w:val="16"/>
                <w:szCs w:val="16"/>
                <w:color w:val="auto"/>
              </w:rPr>
              <w:t>(547)</w:t>
            </w:r>
          </w:p>
        </w:tc>
        <w:tc>
          <w:tcPr>
            <w:tcW w:w="1020" w:type="dxa"/>
            <w:vAlign w:val="bottom"/>
            <w:gridSpan w:val="6"/>
          </w:tcPr>
          <w:p>
            <w:pPr>
              <w:jc w:val="right"/>
              <w:ind w:right="40"/>
              <w:spacing w:after="0"/>
              <w:rPr>
                <w:sz w:val="20"/>
                <w:szCs w:val="20"/>
                <w:color w:val="auto"/>
              </w:rPr>
            </w:pPr>
            <w:r>
              <w:rPr>
                <w:rFonts w:ascii="Arial" w:cs="Arial" w:eastAsia="Arial" w:hAnsi="Arial"/>
                <w:sz w:val="16"/>
                <w:szCs w:val="16"/>
                <w:color w:val="auto"/>
              </w:rPr>
              <w:t>(458)</w:t>
            </w:r>
          </w:p>
        </w:tc>
        <w:tc>
          <w:tcPr>
            <w:tcW w:w="900" w:type="dxa"/>
            <w:vAlign w:val="bottom"/>
            <w:gridSpan w:val="5"/>
          </w:tcPr>
          <w:p>
            <w:pPr>
              <w:jc w:val="right"/>
              <w:spacing w:after="0"/>
              <w:rPr>
                <w:sz w:val="20"/>
                <w:szCs w:val="20"/>
                <w:color w:val="auto"/>
              </w:rPr>
            </w:pPr>
            <w:r>
              <w:rPr>
                <w:rFonts w:ascii="Arial" w:cs="Arial" w:eastAsia="Arial" w:hAnsi="Arial"/>
                <w:sz w:val="16"/>
                <w:szCs w:val="16"/>
                <w:color w:val="auto"/>
              </w:rPr>
              <w:t>153,896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w w:val="96"/>
              </w:rPr>
              <w:t>152,656</w:t>
            </w:r>
          </w:p>
        </w:tc>
        <w:tc>
          <w:tcPr>
            <w:tcW w:w="60" w:type="dxa"/>
            <w:vAlign w:val="bottom"/>
          </w:tcPr>
          <w:p>
            <w:pPr>
              <w:spacing w:after="0"/>
              <w:rPr>
                <w:sz w:val="19"/>
                <w:szCs w:val="19"/>
                <w:color w:val="auto"/>
              </w:rPr>
            </w:pPr>
          </w:p>
        </w:tc>
      </w:tr>
      <w:tr>
        <w:trPr>
          <w:trHeight w:val="191"/>
        </w:trPr>
        <w:tc>
          <w:tcPr>
            <w:tcW w:w="18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Administrative expenses</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gridSpan w:val="5"/>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6"/>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82,187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6"/>
            <w:shd w:val="clear" w:color="auto" w:fill="CCEEFF"/>
          </w:tcPr>
          <w:p>
            <w:pPr>
              <w:jc w:val="right"/>
              <w:ind w:right="100"/>
              <w:spacing w:after="0"/>
              <w:rPr>
                <w:sz w:val="20"/>
                <w:szCs w:val="20"/>
                <w:color w:val="auto"/>
              </w:rPr>
            </w:pPr>
            <w:r>
              <w:rPr>
                <w:rFonts w:ascii="Arial" w:cs="Arial" w:eastAsia="Arial" w:hAnsi="Arial"/>
                <w:sz w:val="16"/>
                <w:szCs w:val="16"/>
                <w:color w:val="auto"/>
              </w:rPr>
              <w:t>82,187</w:t>
            </w:r>
          </w:p>
        </w:tc>
        <w:tc>
          <w:tcPr>
            <w:tcW w:w="1120" w:type="dxa"/>
            <w:vAlign w:val="bottom"/>
            <w:gridSpan w:val="6"/>
            <w:shd w:val="clear" w:color="auto" w:fill="CCEEFF"/>
          </w:tcPr>
          <w:p>
            <w:pPr>
              <w:jc w:val="right"/>
              <w:ind w:right="140"/>
              <w:spacing w:after="0"/>
              <w:rPr>
                <w:sz w:val="20"/>
                <w:szCs w:val="20"/>
                <w:color w:val="auto"/>
              </w:rPr>
            </w:pPr>
            <w:r>
              <w:rPr>
                <w:rFonts w:ascii="Arial" w:cs="Arial" w:eastAsia="Arial" w:hAnsi="Arial"/>
                <w:sz w:val="16"/>
                <w:szCs w:val="16"/>
                <w:color w:val="auto"/>
              </w:rPr>
              <w:t>82,187</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82,187</w:t>
            </w:r>
          </w:p>
        </w:tc>
        <w:tc>
          <w:tcPr>
            <w:tcW w:w="60" w:type="dxa"/>
            <w:vAlign w:val="bottom"/>
            <w:shd w:val="clear" w:color="auto" w:fill="CCEEFF"/>
          </w:tcPr>
          <w:p>
            <w:pPr>
              <w:spacing w:after="0"/>
              <w:rPr>
                <w:sz w:val="16"/>
                <w:szCs w:val="16"/>
                <w:color w:val="auto"/>
              </w:rPr>
            </w:pPr>
          </w:p>
        </w:tc>
      </w:tr>
      <w:tr>
        <w:trPr>
          <w:trHeight w:val="191"/>
        </w:trPr>
        <w:tc>
          <w:tcPr>
            <w:tcW w:w="1120" w:type="dxa"/>
            <w:vAlign w:val="bottom"/>
            <w:gridSpan w:val="3"/>
          </w:tcPr>
          <w:p>
            <w:pPr>
              <w:spacing w:after="0"/>
              <w:rPr>
                <w:sz w:val="20"/>
                <w:szCs w:val="20"/>
                <w:color w:val="auto"/>
              </w:rPr>
            </w:pPr>
            <w:r>
              <w:rPr>
                <w:rFonts w:ascii="Arial" w:cs="Arial" w:eastAsia="Arial" w:hAnsi="Arial"/>
                <w:sz w:val="16"/>
                <w:szCs w:val="16"/>
                <w:color w:val="auto"/>
                <w:w w:val="84"/>
              </w:rPr>
              <w:t>Finance expenses</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5"/>
          </w:tcPr>
          <w:p>
            <w:pPr>
              <w:jc w:val="right"/>
              <w:ind w:right="5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78,636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6"/>
          </w:tcPr>
          <w:p>
            <w:pPr>
              <w:jc w:val="right"/>
              <w:ind w:right="100"/>
              <w:spacing w:after="0"/>
              <w:rPr>
                <w:sz w:val="20"/>
                <w:szCs w:val="20"/>
                <w:color w:val="auto"/>
              </w:rPr>
            </w:pPr>
            <w:r>
              <w:rPr>
                <w:rFonts w:ascii="Arial" w:cs="Arial" w:eastAsia="Arial" w:hAnsi="Arial"/>
                <w:sz w:val="16"/>
                <w:szCs w:val="16"/>
                <w:color w:val="auto"/>
              </w:rPr>
              <w:t>78,636</w:t>
            </w:r>
          </w:p>
        </w:tc>
        <w:tc>
          <w:tcPr>
            <w:tcW w:w="1120" w:type="dxa"/>
            <w:vAlign w:val="bottom"/>
            <w:gridSpan w:val="6"/>
          </w:tcPr>
          <w:p>
            <w:pPr>
              <w:jc w:val="right"/>
              <w:ind w:right="140"/>
              <w:spacing w:after="0"/>
              <w:rPr>
                <w:sz w:val="20"/>
                <w:szCs w:val="20"/>
                <w:color w:val="auto"/>
              </w:rPr>
            </w:pPr>
            <w:r>
              <w:rPr>
                <w:rFonts w:ascii="Arial" w:cs="Arial" w:eastAsia="Arial" w:hAnsi="Arial"/>
                <w:sz w:val="16"/>
                <w:szCs w:val="16"/>
                <w:color w:val="auto"/>
              </w:rPr>
              <w:t>78,636</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78,636</w:t>
            </w:r>
          </w:p>
        </w:tc>
        <w:tc>
          <w:tcPr>
            <w:tcW w:w="60" w:type="dxa"/>
            <w:vAlign w:val="bottom"/>
          </w:tcPr>
          <w:p>
            <w:pPr>
              <w:spacing w:after="0"/>
              <w:rPr>
                <w:sz w:val="16"/>
                <w:szCs w:val="16"/>
                <w:color w:val="auto"/>
              </w:rPr>
            </w:pPr>
          </w:p>
        </w:tc>
      </w:tr>
      <w:tr>
        <w:trPr>
          <w:trHeight w:val="211"/>
        </w:trPr>
        <w:tc>
          <w:tcPr>
            <w:tcW w:w="11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7"/>
              </w:rPr>
              <w:t>Other expenses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78,991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6"/>
            <w:shd w:val="clear" w:color="auto" w:fill="CCEEFF"/>
          </w:tcPr>
          <w:p>
            <w:pPr>
              <w:jc w:val="right"/>
              <w:ind w:right="100"/>
              <w:spacing w:after="0"/>
              <w:rPr>
                <w:sz w:val="20"/>
                <w:szCs w:val="20"/>
                <w:color w:val="auto"/>
              </w:rPr>
            </w:pPr>
            <w:r>
              <w:rPr>
                <w:rFonts w:ascii="Arial" w:cs="Arial" w:eastAsia="Arial" w:hAnsi="Arial"/>
                <w:sz w:val="16"/>
                <w:szCs w:val="16"/>
                <w:color w:val="auto"/>
              </w:rPr>
              <w:t>78,991</w:t>
            </w:r>
          </w:p>
        </w:tc>
        <w:tc>
          <w:tcPr>
            <w:tcW w:w="1120" w:type="dxa"/>
            <w:vAlign w:val="bottom"/>
            <w:gridSpan w:val="6"/>
            <w:shd w:val="clear" w:color="auto" w:fill="CCEEFF"/>
          </w:tcPr>
          <w:p>
            <w:pPr>
              <w:jc w:val="right"/>
              <w:ind w:right="140"/>
              <w:spacing w:after="0"/>
              <w:rPr>
                <w:sz w:val="20"/>
                <w:szCs w:val="20"/>
                <w:color w:val="auto"/>
              </w:rPr>
            </w:pPr>
            <w:r>
              <w:rPr>
                <w:rFonts w:ascii="Arial" w:cs="Arial" w:eastAsia="Arial" w:hAnsi="Arial"/>
                <w:sz w:val="16"/>
                <w:szCs w:val="16"/>
                <w:color w:val="auto"/>
              </w:rPr>
              <w:t>78,991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78,991</w:t>
            </w:r>
          </w:p>
        </w:tc>
        <w:tc>
          <w:tcPr>
            <w:tcW w:w="60" w:type="dxa"/>
            <w:vAlign w:val="bottom"/>
            <w:shd w:val="clear" w:color="auto" w:fill="CCEEFF"/>
          </w:tcPr>
          <w:p>
            <w:pPr>
              <w:spacing w:after="0"/>
              <w:rPr>
                <w:sz w:val="18"/>
                <w:szCs w:val="18"/>
                <w:color w:val="auto"/>
              </w:rPr>
            </w:pPr>
          </w:p>
        </w:tc>
      </w:tr>
      <w:tr>
        <w:trPr>
          <w:trHeight w:val="179"/>
        </w:trPr>
        <w:tc>
          <w:tcPr>
            <w:tcW w:w="1800" w:type="dxa"/>
            <w:vAlign w:val="bottom"/>
            <w:tcBorders>
              <w:top w:val="single" w:sz="8" w:color="CCEEFF"/>
            </w:tcBorders>
            <w:gridSpan w:val="5"/>
          </w:tcPr>
          <w:p>
            <w:pPr>
              <w:spacing w:after="0" w:line="175" w:lineRule="exact"/>
              <w:rPr>
                <w:sz w:val="20"/>
                <w:szCs w:val="20"/>
                <w:color w:val="auto"/>
              </w:rPr>
            </w:pPr>
            <w:r>
              <w:rPr>
                <w:rFonts w:ascii="Arial" w:cs="Arial" w:eastAsia="Arial" w:hAnsi="Arial"/>
                <w:sz w:val="16"/>
                <w:szCs w:val="16"/>
                <w:b w:val="1"/>
                <w:bCs w:val="1"/>
                <w:color w:val="auto"/>
                <w:w w:val="96"/>
              </w:rPr>
              <w:t>Income (loss) before tax</w:t>
            </w:r>
          </w:p>
        </w:tc>
        <w:tc>
          <w:tcPr>
            <w:tcW w:w="3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780" w:type="dxa"/>
            <w:vAlign w:val="bottom"/>
            <w:tcBorders>
              <w:top w:val="single" w:sz="8" w:color="auto"/>
              <w:bottom w:val="single" w:sz="8" w:color="auto"/>
            </w:tcBorders>
            <w:gridSpan w:val="4"/>
          </w:tcPr>
          <w:p>
            <w:pPr>
              <w:jc w:val="right"/>
              <w:spacing w:after="0" w:line="175" w:lineRule="exact"/>
              <w:rPr>
                <w:sz w:val="20"/>
                <w:szCs w:val="20"/>
                <w:color w:val="auto"/>
              </w:rPr>
            </w:pPr>
            <w:r>
              <w:rPr>
                <w:rFonts w:ascii="Arial" w:cs="Arial" w:eastAsia="Arial" w:hAnsi="Arial"/>
                <w:sz w:val="16"/>
                <w:szCs w:val="16"/>
                <w:b w:val="1"/>
                <w:bCs w:val="1"/>
                <w:color w:val="auto"/>
              </w:rPr>
              <w:t>(85,918</w:t>
            </w:r>
          </w:p>
        </w:tc>
        <w:tc>
          <w:tcPr>
            <w:tcW w:w="220" w:type="dxa"/>
            <w:vAlign w:val="bottom"/>
            <w:tcBorders>
              <w:top w:val="single" w:sz="8" w:color="CCEEFF"/>
            </w:tcBorders>
          </w:tcPr>
          <w:p>
            <w:pPr>
              <w:jc w:val="center"/>
              <w:ind w:right="80"/>
              <w:spacing w:after="0" w:line="175" w:lineRule="exact"/>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(1,240</w:t>
            </w:r>
          </w:p>
        </w:tc>
        <w:tc>
          <w:tcPr>
            <w:tcW w:w="200" w:type="dxa"/>
            <w:vAlign w:val="bottom"/>
            <w:tcBorders>
              <w:top w:val="single" w:sz="8" w:color="CCEEFF"/>
            </w:tcBorders>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(87,158</w:t>
            </w:r>
          </w:p>
        </w:tc>
        <w:tc>
          <w:tcPr>
            <w:tcW w:w="60" w:type="dxa"/>
            <w:vAlign w:val="bottom"/>
            <w:tcBorders>
              <w:top w:val="single" w:sz="8" w:color="CCEEFF"/>
            </w:tcBorders>
          </w:tcPr>
          <w:p>
            <w:pPr>
              <w:jc w:val="right"/>
              <w:spacing w:after="0" w:line="175" w:lineRule="exact"/>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tcBorders>
          </w:tcPr>
          <w:p>
            <w:pPr>
              <w:spacing w:after="0"/>
              <w:rPr>
                <w:sz w:val="15"/>
                <w:szCs w:val="15"/>
                <w:color w:val="auto"/>
              </w:rPr>
            </w:pPr>
          </w:p>
        </w:tc>
      </w:tr>
      <w:tr>
        <w:trPr>
          <w:trHeight w:val="398"/>
        </w:trPr>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5"/>
          </w:tcPr>
          <w:p>
            <w:pPr>
              <w:ind w:left="160"/>
              <w:spacing w:after="0"/>
              <w:rPr>
                <w:sz w:val="20"/>
                <w:szCs w:val="20"/>
                <w:color w:val="auto"/>
              </w:rPr>
            </w:pPr>
            <w:r>
              <w:rPr>
                <w:rFonts w:ascii="Arial" w:cs="Arial" w:eastAsia="Arial" w:hAnsi="Arial"/>
                <w:sz w:val="16"/>
                <w:szCs w:val="16"/>
                <w:b w:val="1"/>
                <w:bCs w:val="1"/>
                <w:color w:val="auto"/>
              </w:rPr>
              <w:t>NextGel</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0" w:type="dxa"/>
            <w:vAlign w:val="bottom"/>
            <w:gridSpan w:val="16"/>
          </w:tcPr>
          <w:p>
            <w:pPr>
              <w:ind w:left="140"/>
              <w:spacing w:after="0"/>
              <w:rPr>
                <w:sz w:val="20"/>
                <w:szCs w:val="20"/>
                <w:color w:val="auto"/>
              </w:rPr>
            </w:pPr>
            <w:r>
              <w:rPr>
                <w:rFonts w:ascii="Arial" w:cs="Arial" w:eastAsia="Arial" w:hAnsi="Arial"/>
                <w:sz w:val="16"/>
                <w:szCs w:val="16"/>
                <w:b w:val="1"/>
                <w:bCs w:val="1"/>
                <w:color w:val="auto"/>
              </w:rPr>
              <w:t>Procaps Colombia</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ind w:left="100"/>
              <w:spacing w:after="0"/>
              <w:rPr>
                <w:sz w:val="20"/>
                <w:szCs w:val="20"/>
                <w:color w:val="auto"/>
              </w:rPr>
            </w:pPr>
            <w:r>
              <w:rPr>
                <w:rFonts w:ascii="Arial" w:cs="Arial" w:eastAsia="Arial" w:hAnsi="Arial"/>
                <w:sz w:val="16"/>
                <w:szCs w:val="16"/>
                <w:b w:val="1"/>
                <w:bCs w:val="1"/>
                <w:color w:val="auto"/>
              </w:rPr>
              <w:t>CAN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CASAND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5"/>
          </w:tcPr>
          <w:p>
            <w:pPr>
              <w:jc w:val="center"/>
              <w:ind w:right="180"/>
              <w:spacing w:after="0" w:line="175" w:lineRule="exact"/>
              <w:rPr>
                <w:sz w:val="20"/>
                <w:szCs w:val="20"/>
                <w:color w:val="auto"/>
              </w:rPr>
            </w:pPr>
            <w:r>
              <w:rPr>
                <w:rFonts w:ascii="Arial" w:cs="Arial" w:eastAsia="Arial" w:hAnsi="Arial"/>
                <w:sz w:val="16"/>
                <w:szCs w:val="16"/>
                <w:b w:val="1"/>
                <w:bCs w:val="1"/>
                <w:color w:val="auto"/>
                <w:w w:val="99"/>
              </w:rPr>
              <w:t>Inter-</w:t>
            </w: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6"/>
          </w:tcPr>
          <w:p>
            <w:pPr>
              <w:jc w:val="center"/>
              <w:ind w:right="140"/>
              <w:spacing w:after="0" w:line="175" w:lineRule="exact"/>
              <w:rPr>
                <w:sz w:val="20"/>
                <w:szCs w:val="20"/>
                <w:color w:val="auto"/>
              </w:rPr>
            </w:pPr>
            <w:r>
              <w:rPr>
                <w:rFonts w:ascii="Arial" w:cs="Arial" w:eastAsia="Arial" w:hAnsi="Arial"/>
                <w:sz w:val="16"/>
                <w:szCs w:val="16"/>
                <w:b w:val="1"/>
                <w:bCs w:val="1"/>
                <w:color w:val="auto"/>
                <w:w w:val="99"/>
              </w:rPr>
              <w:t>Inter-</w:t>
            </w:r>
          </w:p>
        </w:tc>
        <w:tc>
          <w:tcPr>
            <w:tcW w:w="6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4"/>
          </w:tcPr>
          <w:p>
            <w:pPr>
              <w:jc w:val="center"/>
              <w:ind w:right="400"/>
              <w:spacing w:after="0" w:line="175" w:lineRule="exact"/>
              <w:rPr>
                <w:sz w:val="20"/>
                <w:szCs w:val="20"/>
                <w:color w:val="auto"/>
              </w:rPr>
            </w:pPr>
            <w:r>
              <w:rPr>
                <w:rFonts w:ascii="Arial" w:cs="Arial" w:eastAsia="Arial" w:hAnsi="Arial"/>
                <w:sz w:val="16"/>
                <w:szCs w:val="16"/>
                <w:b w:val="1"/>
                <w:bCs w:val="1"/>
                <w:color w:val="auto"/>
                <w:w w:val="99"/>
              </w:rPr>
              <w:t>Inter-</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center"/>
              <w:spacing w:after="0" w:line="175" w:lineRule="exact"/>
              <w:rPr>
                <w:sz w:val="20"/>
                <w:szCs w:val="20"/>
                <w:color w:val="auto"/>
              </w:rPr>
            </w:pPr>
            <w:r>
              <w:rPr>
                <w:rFonts w:ascii="Arial" w:cs="Arial" w:eastAsia="Arial" w:hAnsi="Arial"/>
                <w:sz w:val="16"/>
                <w:szCs w:val="16"/>
                <w:b w:val="1"/>
                <w:bCs w:val="1"/>
                <w:color w:val="auto"/>
                <w:w w:val="99"/>
              </w:rPr>
              <w:t>Inter-</w:t>
            </w: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1"/>
        </w:trPr>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85"/>
              </w:rPr>
              <w:t>segment</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5"/>
              </w:rPr>
              <w:t>segment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Year 2020</w:t>
            </w:r>
          </w:p>
        </w:tc>
        <w:tc>
          <w:tcPr>
            <w:tcW w:w="6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0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9"/>
              </w:rPr>
              <w:t>eliminations</w:t>
            </w:r>
          </w:p>
        </w:tc>
        <w:tc>
          <w:tcPr>
            <w:tcW w:w="720" w:type="dxa"/>
            <w:vAlign w:val="bottom"/>
            <w:gridSpan w:val="5"/>
          </w:tcPr>
          <w:p>
            <w:pPr>
              <w:ind w:left="20"/>
              <w:spacing w:after="0"/>
              <w:rPr>
                <w:sz w:val="20"/>
                <w:szCs w:val="20"/>
                <w:color w:val="auto"/>
              </w:rPr>
            </w:pPr>
            <w:r>
              <w:rPr>
                <w:rFonts w:ascii="Arial" w:cs="Arial" w:eastAsia="Arial" w:hAnsi="Arial"/>
                <w:sz w:val="16"/>
                <w:szCs w:val="16"/>
                <w:b w:val="1"/>
                <w:bCs w:val="1"/>
                <w:color w:val="auto"/>
              </w:rPr>
              <w:t>External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4"/>
          </w:tcPr>
          <w:p>
            <w:pPr>
              <w:ind w:left="16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89"/>
              </w:rPr>
              <w:t>eliminations</w:t>
            </w:r>
          </w:p>
        </w:tc>
        <w:tc>
          <w:tcPr>
            <w:tcW w:w="880" w:type="dxa"/>
            <w:vAlign w:val="bottom"/>
            <w:gridSpan w:val="5"/>
          </w:tcPr>
          <w:p>
            <w:pPr>
              <w:ind w:left="60"/>
              <w:spacing w:after="0"/>
              <w:rPr>
                <w:sz w:val="20"/>
                <w:szCs w:val="20"/>
                <w:color w:val="auto"/>
              </w:rPr>
            </w:pPr>
            <w:r>
              <w:rPr>
                <w:rFonts w:ascii="Arial" w:cs="Arial" w:eastAsia="Arial" w:hAnsi="Arial"/>
                <w:sz w:val="16"/>
                <w:szCs w:val="16"/>
                <w:b w:val="1"/>
                <w:bCs w:val="1"/>
                <w:color w:val="auto"/>
              </w:rPr>
              <w:t>External</w:t>
            </w:r>
          </w:p>
        </w:tc>
        <w:tc>
          <w:tcPr>
            <w:tcW w:w="6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8"/>
                <w:szCs w:val="18"/>
                <w:color w:val="auto"/>
              </w:rPr>
            </w:pPr>
          </w:p>
        </w:tc>
        <w:tc>
          <w:tcPr>
            <w:tcW w:w="104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89"/>
              </w:rPr>
              <w:t>eliminations</w:t>
            </w:r>
          </w:p>
        </w:tc>
        <w:tc>
          <w:tcPr>
            <w:tcW w:w="900" w:type="dxa"/>
            <w:vAlign w:val="bottom"/>
            <w:gridSpan w:val="6"/>
          </w:tcPr>
          <w:p>
            <w:pPr>
              <w:spacing w:after="0"/>
              <w:rPr>
                <w:sz w:val="20"/>
                <w:szCs w:val="20"/>
                <w:color w:val="auto"/>
              </w:rPr>
            </w:pPr>
            <w:r>
              <w:rPr>
                <w:rFonts w:ascii="Arial" w:cs="Arial" w:eastAsia="Arial" w:hAnsi="Arial"/>
                <w:sz w:val="16"/>
                <w:szCs w:val="16"/>
                <w:b w:val="1"/>
                <w:bCs w:val="1"/>
                <w:color w:val="auto"/>
              </w:rPr>
              <w:t>External</w:t>
            </w:r>
          </w:p>
        </w:tc>
        <w:tc>
          <w:tcPr>
            <w:tcW w:w="58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8"/>
                <w:szCs w:val="18"/>
                <w:color w:val="auto"/>
              </w:rPr>
            </w:pPr>
          </w:p>
        </w:tc>
        <w:tc>
          <w:tcPr>
            <w:tcW w:w="8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eliminations</w:t>
            </w: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External</w:t>
            </w:r>
          </w:p>
        </w:tc>
      </w:tr>
      <w:tr>
        <w:trPr>
          <w:trHeight w:val="191"/>
        </w:trPr>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201,294</w:t>
            </w: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(95,315)</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105,979</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121,532</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gridSpan w:val="3"/>
            <w:shd w:val="clear" w:color="auto" w:fill="CCEEFF"/>
          </w:tcPr>
          <w:p>
            <w:pPr>
              <w:ind w:left="420"/>
              <w:spacing w:after="0"/>
              <w:rPr>
                <w:sz w:val="20"/>
                <w:szCs w:val="20"/>
                <w:color w:val="auto"/>
              </w:rPr>
            </w:pPr>
            <w:r>
              <w:rPr>
                <w:rFonts w:ascii="Arial" w:cs="Arial" w:eastAsia="Arial" w:hAnsi="Arial"/>
                <w:sz w:val="16"/>
                <w:szCs w:val="16"/>
                <w:color w:val="auto"/>
                <w:w w:val="78"/>
              </w:rPr>
              <w:t>(6,637)</w:t>
            </w:r>
          </w:p>
        </w:tc>
        <w:tc>
          <w:tcPr>
            <w:tcW w:w="12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114,895</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44,808</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45,613</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40,094</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(1,538)</w:t>
            </w: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38,556</w:t>
            </w:r>
          </w:p>
        </w:tc>
        <w:tc>
          <w:tcPr>
            <w:tcW w:w="60" w:type="dxa"/>
            <w:vAlign w:val="bottom"/>
            <w:tcBorders>
              <w:top w:val="single" w:sz="8" w:color="CCEEFF"/>
            </w:tcBorders>
            <w:shd w:val="clear" w:color="auto" w:fill="CCEEFF"/>
          </w:tcPr>
          <w:p>
            <w:pPr>
              <w:spacing w:after="0"/>
              <w:rPr>
                <w:sz w:val="16"/>
                <w:szCs w:val="16"/>
                <w:color w:val="auto"/>
              </w:rPr>
            </w:pPr>
          </w:p>
        </w:tc>
      </w:tr>
      <w:tr>
        <w:trPr>
          <w:trHeight w:val="182"/>
        </w:trPr>
        <w:tc>
          <w:tcPr>
            <w:tcW w:w="11260" w:type="dxa"/>
            <w:vAlign w:val="bottom"/>
            <w:gridSpan w:val="63"/>
          </w:tcPr>
          <w:p>
            <w:pPr>
              <w:spacing w:after="0" w:line="182" w:lineRule="exact"/>
              <w:rPr>
                <w:sz w:val="20"/>
                <w:szCs w:val="20"/>
                <w:color w:val="auto"/>
              </w:rPr>
            </w:pPr>
            <w:r>
              <w:rPr>
                <w:rFonts w:ascii="Arial" w:cs="Arial" w:eastAsia="Arial" w:hAnsi="Arial"/>
                <w:sz w:val="16"/>
                <w:szCs w:val="16"/>
                <w:color w:val="auto"/>
              </w:rPr>
              <w:t>Contribution</w:t>
            </w:r>
          </w:p>
        </w:tc>
      </w:tr>
      <w:tr>
        <w:trPr>
          <w:trHeight w:val="346"/>
        </w:trPr>
        <w:tc>
          <w:tcPr>
            <w:tcW w:w="1120" w:type="dxa"/>
            <w:vAlign w:val="bottom"/>
            <w:gridSpan w:val="3"/>
          </w:tcPr>
          <w:p>
            <w:pPr>
              <w:ind w:left="14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6"/>
                <w:szCs w:val="26"/>
                <w:color w:val="auto"/>
                <w:vertAlign w:val="superscript"/>
              </w:rPr>
              <w:t>1</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52,679</w:t>
            </w:r>
          </w:p>
        </w:tc>
        <w:tc>
          <w:tcPr>
            <w:tcW w:w="1000" w:type="dxa"/>
            <w:vAlign w:val="bottom"/>
            <w:gridSpan w:val="4"/>
          </w:tcPr>
          <w:p>
            <w:pPr>
              <w:jc w:val="right"/>
              <w:ind w:right="120"/>
              <w:spacing w:after="0"/>
              <w:rPr>
                <w:sz w:val="20"/>
                <w:szCs w:val="20"/>
                <w:color w:val="auto"/>
              </w:rPr>
            </w:pPr>
            <w:r>
              <w:rPr>
                <w:rFonts w:ascii="Arial" w:cs="Arial" w:eastAsia="Arial" w:hAnsi="Arial"/>
                <w:sz w:val="16"/>
                <w:szCs w:val="16"/>
                <w:color w:val="auto"/>
              </w:rPr>
              <w:t>(5,790)</w:t>
            </w:r>
          </w:p>
        </w:tc>
        <w:tc>
          <w:tcPr>
            <w:tcW w:w="20" w:type="dxa"/>
            <w:vAlign w:val="bottom"/>
          </w:tcPr>
          <w:p>
            <w:pPr>
              <w:spacing w:after="0"/>
              <w:rPr>
                <w:sz w:val="24"/>
                <w:szCs w:val="24"/>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6"/>
                <w:szCs w:val="16"/>
                <w:color w:val="auto"/>
              </w:rPr>
              <w:t>46,889</w:t>
            </w:r>
          </w:p>
        </w:tc>
        <w:tc>
          <w:tcPr>
            <w:tcW w:w="760" w:type="dxa"/>
            <w:vAlign w:val="bottom"/>
            <w:gridSpan w:val="6"/>
          </w:tcPr>
          <w:p>
            <w:pPr>
              <w:jc w:val="right"/>
              <w:ind w:right="20"/>
              <w:spacing w:after="0"/>
              <w:rPr>
                <w:sz w:val="20"/>
                <w:szCs w:val="20"/>
                <w:color w:val="auto"/>
              </w:rPr>
            </w:pPr>
            <w:r>
              <w:rPr>
                <w:rFonts w:ascii="Arial" w:cs="Arial" w:eastAsia="Arial" w:hAnsi="Arial"/>
                <w:sz w:val="16"/>
                <w:szCs w:val="16"/>
                <w:color w:val="auto"/>
              </w:rPr>
              <w:t>43,926</w:t>
            </w:r>
          </w:p>
        </w:tc>
        <w:tc>
          <w:tcPr>
            <w:tcW w:w="1080" w:type="dxa"/>
            <w:vAlign w:val="bottom"/>
            <w:gridSpan w:val="7"/>
          </w:tcPr>
          <w:p>
            <w:pPr>
              <w:ind w:left="540"/>
              <w:spacing w:after="0"/>
              <w:rPr>
                <w:sz w:val="20"/>
                <w:szCs w:val="20"/>
                <w:color w:val="auto"/>
              </w:rPr>
            </w:pPr>
            <w:r>
              <w:rPr>
                <w:rFonts w:ascii="Arial" w:cs="Arial" w:eastAsia="Arial" w:hAnsi="Arial"/>
                <w:sz w:val="16"/>
                <w:szCs w:val="16"/>
                <w:color w:val="auto"/>
              </w:rPr>
              <w:t>(1,695)</w:t>
            </w:r>
          </w:p>
        </w:tc>
        <w:tc>
          <w:tcPr>
            <w:tcW w:w="2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42,231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6"/>
                <w:szCs w:val="16"/>
                <w:color w:val="auto"/>
              </w:rPr>
              <w:t>9,197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6,324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6"/>
                <w:szCs w:val="16"/>
                <w:color w:val="auto"/>
                <w:w w:val="89"/>
              </w:rPr>
              <w:t>15,521</w:t>
            </w:r>
          </w:p>
        </w:tc>
        <w:tc>
          <w:tcPr>
            <w:tcW w:w="100" w:type="dxa"/>
            <w:vAlign w:val="bottom"/>
          </w:tcPr>
          <w:p>
            <w:pPr>
              <w:spacing w:after="0"/>
              <w:rPr>
                <w:sz w:val="24"/>
                <w:szCs w:val="24"/>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6"/>
                <w:szCs w:val="16"/>
                <w:color w:val="auto"/>
              </w:rPr>
              <w:t>9,001</w:t>
            </w:r>
          </w:p>
        </w:tc>
        <w:tc>
          <w:tcPr>
            <w:tcW w:w="1060" w:type="dxa"/>
            <w:vAlign w:val="bottom"/>
            <w:gridSpan w:val="5"/>
          </w:tcPr>
          <w:p>
            <w:pPr>
              <w:jc w:val="right"/>
              <w:ind w:right="20"/>
              <w:spacing w:after="0"/>
              <w:rPr>
                <w:sz w:val="20"/>
                <w:szCs w:val="20"/>
                <w:color w:val="auto"/>
              </w:rPr>
            </w:pPr>
            <w:r>
              <w:rPr>
                <w:rFonts w:ascii="Arial" w:cs="Arial" w:eastAsia="Arial" w:hAnsi="Arial"/>
                <w:sz w:val="16"/>
                <w:szCs w:val="16"/>
                <w:color w:val="auto"/>
              </w:rPr>
              <w:t>813</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9,814</w:t>
            </w:r>
          </w:p>
        </w:tc>
        <w:tc>
          <w:tcPr>
            <w:tcW w:w="60" w:type="dxa"/>
            <w:vAlign w:val="bottom"/>
          </w:tcPr>
          <w:p>
            <w:pPr>
              <w:spacing w:after="0"/>
              <w:rPr>
                <w:sz w:val="24"/>
                <w:szCs w:val="24"/>
                <w:color w:val="auto"/>
              </w:rPr>
            </w:pPr>
          </w:p>
        </w:tc>
      </w:tr>
      <w:tr>
        <w:trPr>
          <w:trHeight w:val="276"/>
        </w:trPr>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6"/>
                <w:szCs w:val="16"/>
                <w:b w:val="1"/>
                <w:bCs w:val="1"/>
                <w:color w:val="auto"/>
                <w:w w:val="90"/>
              </w:rPr>
              <w:t>Diabetrics</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4"/>
              </w:rPr>
              <w:t>Corporate</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6"/>
                <w:szCs w:val="16"/>
                <w:b w:val="1"/>
                <w:bCs w:val="1"/>
                <w:color w:val="auto"/>
                <w:w w:val="88"/>
              </w:rPr>
              <w:t>Total</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8"/>
          </w:tcPr>
          <w:p>
            <w:pPr>
              <w:jc w:val="center"/>
              <w:ind w:right="420"/>
              <w:spacing w:after="0" w:line="175" w:lineRule="exact"/>
              <w:rPr>
                <w:sz w:val="20"/>
                <w:szCs w:val="20"/>
                <w:color w:val="auto"/>
              </w:rPr>
            </w:pPr>
            <w:r>
              <w:rPr>
                <w:rFonts w:ascii="Arial" w:cs="Arial" w:eastAsia="Arial" w:hAnsi="Arial"/>
                <w:sz w:val="16"/>
                <w:szCs w:val="16"/>
                <w:b w:val="1"/>
                <w:bCs w:val="1"/>
                <w:color w:val="auto"/>
                <w:w w:val="99"/>
              </w:rPr>
              <w:t>Inter-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jc w:val="center"/>
              <w:ind w:left="120"/>
              <w:spacing w:after="0" w:line="175" w:lineRule="exact"/>
              <w:rPr>
                <w:sz w:val="20"/>
                <w:szCs w:val="20"/>
                <w:color w:val="auto"/>
              </w:rPr>
            </w:pPr>
            <w:r>
              <w:rPr>
                <w:rFonts w:ascii="Arial" w:cs="Arial" w:eastAsia="Arial" w:hAnsi="Arial"/>
                <w:sz w:val="16"/>
                <w:szCs w:val="16"/>
                <w:b w:val="1"/>
                <w:bCs w:val="1"/>
                <w:color w:val="auto"/>
                <w:w w:val="99"/>
              </w:rPr>
              <w:t>Inter-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4"/>
          </w:tcPr>
          <w:p>
            <w:pPr>
              <w:jc w:val="center"/>
              <w:ind w:right="480"/>
              <w:spacing w:after="0" w:line="175" w:lineRule="exact"/>
              <w:rPr>
                <w:sz w:val="20"/>
                <w:szCs w:val="20"/>
                <w:color w:val="auto"/>
              </w:rPr>
            </w:pPr>
            <w:r>
              <w:rPr>
                <w:rFonts w:ascii="Arial" w:cs="Arial" w:eastAsia="Arial" w:hAnsi="Arial"/>
                <w:sz w:val="16"/>
                <w:szCs w:val="16"/>
                <w:b w:val="1"/>
                <w:bCs w:val="1"/>
                <w:color w:val="auto"/>
                <w:w w:val="99"/>
              </w:rPr>
              <w:t>Inter-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1"/>
        </w:trPr>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9"/>
          </w:tcPr>
          <w:p>
            <w:pPr>
              <w:jc w:val="center"/>
              <w:ind w:right="220"/>
              <w:spacing w:after="0"/>
              <w:rPr>
                <w:sz w:val="20"/>
                <w:szCs w:val="20"/>
                <w:color w:val="auto"/>
              </w:rPr>
            </w:pPr>
            <w:r>
              <w:rPr>
                <w:rFonts w:ascii="Arial" w:cs="Arial" w:eastAsia="Arial" w:hAnsi="Arial"/>
                <w:sz w:val="16"/>
                <w:szCs w:val="16"/>
                <w:b w:val="1"/>
                <w:bCs w:val="1"/>
                <w:color w:val="auto"/>
                <w:w w:val="85"/>
              </w:rPr>
              <w:t>segment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6"/>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85"/>
              </w:rPr>
              <w:t>segment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Year 2020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ind w:left="200"/>
              <w:spacing w:after="0"/>
              <w:rPr>
                <w:sz w:val="20"/>
                <w:szCs w:val="20"/>
                <w:color w:val="auto"/>
              </w:rPr>
            </w:pPr>
            <w:r>
              <w:rPr>
                <w:rFonts w:ascii="Arial" w:cs="Arial" w:eastAsia="Arial" w:hAnsi="Arial"/>
                <w:sz w:val="16"/>
                <w:szCs w:val="16"/>
                <w:b w:val="1"/>
                <w:bCs w:val="1"/>
                <w:color w:val="auto"/>
                <w:w w:val="88"/>
              </w:rPr>
              <w:t>Total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9"/>
          </w:tcPr>
          <w:p>
            <w:pPr>
              <w:jc w:val="center"/>
              <w:ind w:right="220"/>
              <w:spacing w:after="0"/>
              <w:rPr>
                <w:sz w:val="20"/>
                <w:szCs w:val="20"/>
                <w:color w:val="auto"/>
              </w:rPr>
            </w:pPr>
            <w:r>
              <w:rPr>
                <w:rFonts w:ascii="Arial" w:cs="Arial" w:eastAsia="Arial" w:hAnsi="Arial"/>
                <w:sz w:val="16"/>
                <w:szCs w:val="16"/>
                <w:b w:val="1"/>
                <w:bCs w:val="1"/>
                <w:color w:val="auto"/>
                <w:w w:val="89"/>
              </w:rPr>
              <w:t>eliminations</w:t>
            </w:r>
          </w:p>
        </w:tc>
        <w:tc>
          <w:tcPr>
            <w:tcW w:w="1100" w:type="dxa"/>
            <w:vAlign w:val="bottom"/>
            <w:gridSpan w:val="8"/>
          </w:tcPr>
          <w:p>
            <w:pPr>
              <w:ind w:left="80"/>
              <w:spacing w:after="0"/>
              <w:rPr>
                <w:sz w:val="20"/>
                <w:szCs w:val="20"/>
                <w:color w:val="auto"/>
              </w:rPr>
            </w:pPr>
            <w:r>
              <w:rPr>
                <w:rFonts w:ascii="Arial" w:cs="Arial" w:eastAsia="Arial" w:hAnsi="Arial"/>
                <w:sz w:val="16"/>
                <w:szCs w:val="16"/>
                <w:b w:val="1"/>
                <w:bCs w:val="1"/>
                <w:color w:val="auto"/>
              </w:rPr>
              <w:t>External</w:t>
            </w:r>
          </w:p>
        </w:tc>
        <w:tc>
          <w:tcPr>
            <w:tcW w:w="880" w:type="dxa"/>
            <w:vAlign w:val="bottom"/>
            <w:gridSpan w:val="5"/>
          </w:tcPr>
          <w:p>
            <w:pPr>
              <w:ind w:left="100"/>
              <w:spacing w:after="0"/>
              <w:rPr>
                <w:sz w:val="20"/>
                <w:szCs w:val="20"/>
                <w:color w:val="auto"/>
              </w:rPr>
            </w:pPr>
            <w:r>
              <w:rPr>
                <w:rFonts w:ascii="Arial" w:cs="Arial" w:eastAsia="Arial" w:hAnsi="Arial"/>
                <w:sz w:val="16"/>
                <w:szCs w:val="16"/>
                <w:b w:val="1"/>
                <w:bCs w:val="1"/>
                <w:color w:val="auto"/>
              </w:rPr>
              <w:t>Total</w:t>
            </w:r>
          </w:p>
        </w:tc>
        <w:tc>
          <w:tcPr>
            <w:tcW w:w="900" w:type="dxa"/>
            <w:vAlign w:val="bottom"/>
            <w:gridSpan w:val="6"/>
          </w:tcPr>
          <w:p>
            <w:pPr>
              <w:jc w:val="center"/>
              <w:spacing w:after="0"/>
              <w:rPr>
                <w:sz w:val="20"/>
                <w:szCs w:val="20"/>
                <w:color w:val="auto"/>
              </w:rPr>
            </w:pPr>
            <w:r>
              <w:rPr>
                <w:rFonts w:ascii="Arial" w:cs="Arial" w:eastAsia="Arial" w:hAnsi="Arial"/>
                <w:sz w:val="16"/>
                <w:szCs w:val="16"/>
                <w:b w:val="1"/>
                <w:bCs w:val="1"/>
                <w:color w:val="auto"/>
                <w:w w:val="89"/>
              </w:rPr>
              <w:t>eliminations</w:t>
            </w:r>
          </w:p>
        </w:tc>
        <w:tc>
          <w:tcPr>
            <w:tcW w:w="160" w:type="dxa"/>
            <w:vAlign w:val="bottom"/>
          </w:tcPr>
          <w:p>
            <w:pPr>
              <w:spacing w:after="0"/>
              <w:rPr>
                <w:sz w:val="18"/>
                <w:szCs w:val="18"/>
                <w:color w:val="auto"/>
              </w:rPr>
            </w:pPr>
          </w:p>
        </w:tc>
        <w:tc>
          <w:tcPr>
            <w:tcW w:w="680" w:type="dxa"/>
            <w:vAlign w:val="bottom"/>
            <w:gridSpan w:val="3"/>
          </w:tcPr>
          <w:p>
            <w:pPr>
              <w:ind w:left="80"/>
              <w:spacing w:after="0"/>
              <w:rPr>
                <w:sz w:val="20"/>
                <w:szCs w:val="20"/>
                <w:color w:val="auto"/>
              </w:rPr>
            </w:pPr>
            <w:r>
              <w:rPr>
                <w:rFonts w:ascii="Arial" w:cs="Arial" w:eastAsia="Arial" w:hAnsi="Arial"/>
                <w:sz w:val="16"/>
                <w:szCs w:val="16"/>
                <w:b w:val="1"/>
                <w:bCs w:val="1"/>
                <w:color w:val="auto"/>
                <w:w w:val="91"/>
              </w:rPr>
              <w:t>External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ind w:left="220"/>
              <w:spacing w:after="0"/>
              <w:rPr>
                <w:sz w:val="20"/>
                <w:szCs w:val="20"/>
                <w:color w:val="auto"/>
              </w:rPr>
            </w:pPr>
            <w:r>
              <w:rPr>
                <w:rFonts w:ascii="Arial" w:cs="Arial" w:eastAsia="Arial" w:hAnsi="Arial"/>
                <w:sz w:val="16"/>
                <w:szCs w:val="16"/>
                <w:b w:val="1"/>
                <w:bCs w:val="1"/>
                <w:color w:val="auto"/>
                <w:w w:val="94"/>
              </w:rPr>
              <w:t>Total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89"/>
              </w:rPr>
              <w:t>eliminations</w:t>
            </w:r>
          </w:p>
        </w:tc>
        <w:tc>
          <w:tcPr>
            <w:tcW w:w="80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w w:val="91"/>
              </w:rPr>
              <w:t>External</w:t>
            </w:r>
          </w:p>
        </w:tc>
      </w:tr>
      <w:tr>
        <w:trPr>
          <w:trHeight w:val="191"/>
        </w:trPr>
        <w:tc>
          <w:tcPr>
            <w:tcW w:w="11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Revenue</w:t>
            </w: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39,221</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7"/>
              </w:rPr>
              <w:t>(16,432)</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22,789</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3,635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449,380</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(117,913)</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6"/>
              </w:rPr>
              <w:t>331,467</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27"/>
        </w:trPr>
        <w:tc>
          <w:tcPr>
            <w:tcW w:w="1800" w:type="dxa"/>
            <w:vAlign w:val="bottom"/>
            <w:gridSpan w:val="5"/>
          </w:tcPr>
          <w:p>
            <w:pPr>
              <w:spacing w:after="0" w:line="227" w:lineRule="exact"/>
              <w:rPr>
                <w:sz w:val="20"/>
                <w:szCs w:val="20"/>
                <w:color w:val="auto"/>
              </w:rPr>
            </w:pPr>
            <w:r>
              <w:rPr>
                <w:rFonts w:ascii="Arial" w:cs="Arial" w:eastAsia="Arial" w:hAnsi="Arial"/>
                <w:sz w:val="16"/>
                <w:szCs w:val="16"/>
                <w:color w:val="auto"/>
              </w:rPr>
              <w:t xml:space="preserve">Contribution margin </w:t>
            </w:r>
            <w:r>
              <w:rPr>
                <w:rFonts w:ascii="Arial" w:cs="Arial" w:eastAsia="Arial" w:hAnsi="Arial"/>
                <w:sz w:val="26"/>
                <w:szCs w:val="26"/>
                <w:color w:val="auto"/>
                <w:vertAlign w:val="superscript"/>
              </w:rPr>
              <w:t>1</w:t>
            </w:r>
          </w:p>
        </w:tc>
        <w:tc>
          <w:tcPr>
            <w:tcW w:w="1440" w:type="dxa"/>
            <w:vAlign w:val="bottom"/>
            <w:gridSpan w:val="7"/>
          </w:tcPr>
          <w:p>
            <w:pPr>
              <w:jc w:val="right"/>
              <w:ind w:right="200"/>
              <w:spacing w:after="0"/>
              <w:rPr>
                <w:sz w:val="20"/>
                <w:szCs w:val="20"/>
                <w:color w:val="auto"/>
              </w:rPr>
            </w:pPr>
            <w:r>
              <w:rPr>
                <w:rFonts w:ascii="Arial" w:cs="Arial" w:eastAsia="Arial" w:hAnsi="Arial"/>
                <w:sz w:val="16"/>
                <w:szCs w:val="16"/>
                <w:color w:val="auto"/>
              </w:rPr>
              <w:t>6,294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6"/>
                <w:szCs w:val="16"/>
                <w:color w:val="auto"/>
              </w:rPr>
              <w:t>(807)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5,487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(10,157)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6"/>
          </w:tcPr>
          <w:p>
            <w:pPr>
              <w:jc w:val="right"/>
              <w:spacing w:after="0"/>
              <w:rPr>
                <w:sz w:val="20"/>
                <w:szCs w:val="20"/>
                <w:color w:val="auto"/>
              </w:rPr>
            </w:pPr>
            <w:r>
              <w:rPr>
                <w:rFonts w:ascii="Arial" w:cs="Arial" w:eastAsia="Arial" w:hAnsi="Arial"/>
                <w:sz w:val="16"/>
                <w:szCs w:val="16"/>
                <w:color w:val="auto"/>
              </w:rPr>
              <w:t>11,900</w:t>
            </w:r>
          </w:p>
        </w:tc>
        <w:tc>
          <w:tcPr>
            <w:tcW w:w="1020" w:type="dxa"/>
            <w:vAlign w:val="bottom"/>
            <w:gridSpan w:val="6"/>
          </w:tcPr>
          <w:p>
            <w:pPr>
              <w:jc w:val="right"/>
              <w:ind w:right="100"/>
              <w:spacing w:after="0"/>
              <w:rPr>
                <w:sz w:val="20"/>
                <w:szCs w:val="20"/>
                <w:color w:val="auto"/>
              </w:rPr>
            </w:pPr>
            <w:r>
              <w:rPr>
                <w:rFonts w:ascii="Arial" w:cs="Arial" w:eastAsia="Arial" w:hAnsi="Arial"/>
                <w:sz w:val="16"/>
                <w:szCs w:val="16"/>
                <w:color w:val="auto"/>
              </w:rPr>
              <w:t>1,743</w:t>
            </w:r>
          </w:p>
        </w:tc>
        <w:tc>
          <w:tcPr>
            <w:tcW w:w="1120" w:type="dxa"/>
            <w:vAlign w:val="bottom"/>
            <w:gridSpan w:val="6"/>
          </w:tcPr>
          <w:p>
            <w:pPr>
              <w:jc w:val="right"/>
              <w:ind w:right="140"/>
              <w:spacing w:after="0"/>
              <w:rPr>
                <w:sz w:val="20"/>
                <w:szCs w:val="20"/>
                <w:color w:val="auto"/>
              </w:rPr>
            </w:pPr>
            <w:r>
              <w:rPr>
                <w:rFonts w:ascii="Arial" w:cs="Arial" w:eastAsia="Arial" w:hAnsi="Arial"/>
                <w:sz w:val="16"/>
                <w:szCs w:val="16"/>
                <w:color w:val="auto"/>
              </w:rPr>
              <w:t>110,940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10,745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w w:val="96"/>
              </w:rPr>
              <w:t>121,685</w:t>
            </w:r>
          </w:p>
        </w:tc>
        <w:tc>
          <w:tcPr>
            <w:tcW w:w="60" w:type="dxa"/>
            <w:vAlign w:val="bottom"/>
          </w:tcPr>
          <w:p>
            <w:pPr>
              <w:spacing w:after="0"/>
              <w:rPr>
                <w:sz w:val="19"/>
                <w:szCs w:val="19"/>
                <w:color w:val="auto"/>
              </w:rPr>
            </w:pPr>
          </w:p>
        </w:tc>
      </w:tr>
      <w:tr>
        <w:trPr>
          <w:trHeight w:val="191"/>
        </w:trPr>
        <w:tc>
          <w:tcPr>
            <w:tcW w:w="18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Administrative expenses</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gridSpan w:val="5"/>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6"/>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58,631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6"/>
            <w:shd w:val="clear" w:color="auto" w:fill="CCEEFF"/>
          </w:tcPr>
          <w:p>
            <w:pPr>
              <w:jc w:val="right"/>
              <w:ind w:right="100"/>
              <w:spacing w:after="0"/>
              <w:rPr>
                <w:sz w:val="20"/>
                <w:szCs w:val="20"/>
                <w:color w:val="auto"/>
              </w:rPr>
            </w:pPr>
            <w:r>
              <w:rPr>
                <w:rFonts w:ascii="Arial" w:cs="Arial" w:eastAsia="Arial" w:hAnsi="Arial"/>
                <w:sz w:val="16"/>
                <w:szCs w:val="16"/>
                <w:color w:val="auto"/>
              </w:rPr>
              <w:t>58,631</w:t>
            </w:r>
          </w:p>
        </w:tc>
        <w:tc>
          <w:tcPr>
            <w:tcW w:w="1120" w:type="dxa"/>
            <w:vAlign w:val="bottom"/>
            <w:gridSpan w:val="6"/>
            <w:shd w:val="clear" w:color="auto" w:fill="CCEEFF"/>
          </w:tcPr>
          <w:p>
            <w:pPr>
              <w:jc w:val="right"/>
              <w:ind w:right="140"/>
              <w:spacing w:after="0"/>
              <w:rPr>
                <w:sz w:val="20"/>
                <w:szCs w:val="20"/>
                <w:color w:val="auto"/>
              </w:rPr>
            </w:pPr>
            <w:r>
              <w:rPr>
                <w:rFonts w:ascii="Arial" w:cs="Arial" w:eastAsia="Arial" w:hAnsi="Arial"/>
                <w:sz w:val="16"/>
                <w:szCs w:val="16"/>
                <w:color w:val="auto"/>
              </w:rPr>
              <w:t>58,631</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58,631</w:t>
            </w:r>
          </w:p>
        </w:tc>
        <w:tc>
          <w:tcPr>
            <w:tcW w:w="60" w:type="dxa"/>
            <w:vAlign w:val="bottom"/>
            <w:shd w:val="clear" w:color="auto" w:fill="CCEEFF"/>
          </w:tcPr>
          <w:p>
            <w:pPr>
              <w:spacing w:after="0"/>
              <w:rPr>
                <w:sz w:val="16"/>
                <w:szCs w:val="16"/>
                <w:color w:val="auto"/>
              </w:rPr>
            </w:pPr>
          </w:p>
        </w:tc>
      </w:tr>
      <w:tr>
        <w:trPr>
          <w:trHeight w:val="191"/>
        </w:trPr>
        <w:tc>
          <w:tcPr>
            <w:tcW w:w="1120" w:type="dxa"/>
            <w:vAlign w:val="bottom"/>
            <w:gridSpan w:val="3"/>
          </w:tcPr>
          <w:p>
            <w:pPr>
              <w:spacing w:after="0"/>
              <w:rPr>
                <w:sz w:val="20"/>
                <w:szCs w:val="20"/>
                <w:color w:val="auto"/>
              </w:rPr>
            </w:pPr>
            <w:r>
              <w:rPr>
                <w:rFonts w:ascii="Arial" w:cs="Arial" w:eastAsia="Arial" w:hAnsi="Arial"/>
                <w:sz w:val="16"/>
                <w:szCs w:val="16"/>
                <w:color w:val="auto"/>
                <w:w w:val="84"/>
              </w:rPr>
              <w:t>Finance expenses</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5"/>
          </w:tcPr>
          <w:p>
            <w:pPr>
              <w:jc w:val="right"/>
              <w:ind w:right="5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54,489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6"/>
          </w:tcPr>
          <w:p>
            <w:pPr>
              <w:jc w:val="right"/>
              <w:ind w:right="100"/>
              <w:spacing w:after="0"/>
              <w:rPr>
                <w:sz w:val="20"/>
                <w:szCs w:val="20"/>
                <w:color w:val="auto"/>
              </w:rPr>
            </w:pPr>
            <w:r>
              <w:rPr>
                <w:rFonts w:ascii="Arial" w:cs="Arial" w:eastAsia="Arial" w:hAnsi="Arial"/>
                <w:sz w:val="16"/>
                <w:szCs w:val="16"/>
                <w:color w:val="auto"/>
              </w:rPr>
              <w:t>54,489</w:t>
            </w:r>
          </w:p>
        </w:tc>
        <w:tc>
          <w:tcPr>
            <w:tcW w:w="1120" w:type="dxa"/>
            <w:vAlign w:val="bottom"/>
            <w:gridSpan w:val="6"/>
          </w:tcPr>
          <w:p>
            <w:pPr>
              <w:jc w:val="right"/>
              <w:ind w:right="140"/>
              <w:spacing w:after="0"/>
              <w:rPr>
                <w:sz w:val="20"/>
                <w:szCs w:val="20"/>
                <w:color w:val="auto"/>
              </w:rPr>
            </w:pPr>
            <w:r>
              <w:rPr>
                <w:rFonts w:ascii="Arial" w:cs="Arial" w:eastAsia="Arial" w:hAnsi="Arial"/>
                <w:sz w:val="16"/>
                <w:szCs w:val="16"/>
                <w:color w:val="auto"/>
              </w:rPr>
              <w:t>54,489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54,489</w:t>
            </w:r>
          </w:p>
        </w:tc>
        <w:tc>
          <w:tcPr>
            <w:tcW w:w="60" w:type="dxa"/>
            <w:vAlign w:val="bottom"/>
          </w:tcPr>
          <w:p>
            <w:pPr>
              <w:spacing w:after="0"/>
              <w:rPr>
                <w:sz w:val="16"/>
                <w:szCs w:val="16"/>
                <w:color w:val="auto"/>
              </w:rPr>
            </w:pPr>
          </w:p>
        </w:tc>
      </w:tr>
      <w:tr>
        <w:trPr>
          <w:trHeight w:val="211"/>
        </w:trPr>
        <w:tc>
          <w:tcPr>
            <w:tcW w:w="11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7"/>
              </w:rPr>
              <w:t>Other expenses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7,716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6"/>
            <w:shd w:val="clear" w:color="auto" w:fill="CCEEFF"/>
          </w:tcPr>
          <w:p>
            <w:pPr>
              <w:jc w:val="right"/>
              <w:ind w:right="100"/>
              <w:spacing w:after="0"/>
              <w:rPr>
                <w:sz w:val="20"/>
                <w:szCs w:val="20"/>
                <w:color w:val="auto"/>
              </w:rPr>
            </w:pPr>
            <w:r>
              <w:rPr>
                <w:rFonts w:ascii="Arial" w:cs="Arial" w:eastAsia="Arial" w:hAnsi="Arial"/>
                <w:sz w:val="16"/>
                <w:szCs w:val="16"/>
                <w:color w:val="auto"/>
              </w:rPr>
              <w:t>7,716</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7,716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7,716</w:t>
            </w:r>
          </w:p>
        </w:tc>
        <w:tc>
          <w:tcPr>
            <w:tcW w:w="60" w:type="dxa"/>
            <w:vAlign w:val="bottom"/>
            <w:shd w:val="clear" w:color="auto" w:fill="CCEEFF"/>
          </w:tcPr>
          <w:p>
            <w:pPr>
              <w:spacing w:after="0"/>
              <w:rPr>
                <w:sz w:val="18"/>
                <w:szCs w:val="18"/>
                <w:color w:val="auto"/>
              </w:rPr>
            </w:pPr>
          </w:p>
        </w:tc>
      </w:tr>
      <w:tr>
        <w:trPr>
          <w:trHeight w:val="179"/>
        </w:trPr>
        <w:tc>
          <w:tcPr>
            <w:tcW w:w="1800" w:type="dxa"/>
            <w:vAlign w:val="bottom"/>
            <w:tcBorders>
              <w:top w:val="single" w:sz="8" w:color="CCEEFF"/>
            </w:tcBorders>
            <w:gridSpan w:val="5"/>
          </w:tcPr>
          <w:p>
            <w:pPr>
              <w:spacing w:after="0" w:line="175" w:lineRule="exact"/>
              <w:rPr>
                <w:sz w:val="20"/>
                <w:szCs w:val="20"/>
                <w:color w:val="auto"/>
              </w:rPr>
            </w:pPr>
            <w:r>
              <w:rPr>
                <w:rFonts w:ascii="Arial" w:cs="Arial" w:eastAsia="Arial" w:hAnsi="Arial"/>
                <w:sz w:val="16"/>
                <w:szCs w:val="16"/>
                <w:b w:val="1"/>
                <w:bCs w:val="1"/>
                <w:color w:val="auto"/>
                <w:w w:val="96"/>
              </w:rPr>
              <w:t>Income (loss) before tax</w:t>
            </w:r>
          </w:p>
        </w:tc>
        <w:tc>
          <w:tcPr>
            <w:tcW w:w="3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780" w:type="dxa"/>
            <w:vAlign w:val="bottom"/>
            <w:tcBorders>
              <w:top w:val="single" w:sz="8" w:color="auto"/>
              <w:bottom w:val="single" w:sz="8" w:color="auto"/>
            </w:tcBorders>
            <w:gridSpan w:val="4"/>
          </w:tcPr>
          <w:p>
            <w:pPr>
              <w:jc w:val="right"/>
              <w:spacing w:after="0" w:line="175" w:lineRule="exact"/>
              <w:rPr>
                <w:sz w:val="20"/>
                <w:szCs w:val="20"/>
                <w:color w:val="auto"/>
              </w:rPr>
            </w:pPr>
            <w:r>
              <w:rPr>
                <w:rFonts w:ascii="Arial" w:cs="Arial" w:eastAsia="Arial" w:hAnsi="Arial"/>
                <w:sz w:val="16"/>
                <w:szCs w:val="16"/>
                <w:b w:val="1"/>
                <w:bCs w:val="1"/>
                <w:color w:val="auto"/>
              </w:rPr>
              <w:t>(9,896</w:t>
            </w:r>
          </w:p>
        </w:tc>
        <w:tc>
          <w:tcPr>
            <w:tcW w:w="220" w:type="dxa"/>
            <w:vAlign w:val="bottom"/>
            <w:tcBorders>
              <w:top w:val="single" w:sz="8" w:color="CCEEFF"/>
            </w:tcBorders>
          </w:tcPr>
          <w:p>
            <w:pPr>
              <w:jc w:val="center"/>
              <w:ind w:right="80"/>
              <w:spacing w:after="0" w:line="175" w:lineRule="exact"/>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10,745</w:t>
            </w:r>
          </w:p>
        </w:tc>
        <w:tc>
          <w:tcPr>
            <w:tcW w:w="20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849</w:t>
            </w: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r>
      <w:tr>
        <w:trPr>
          <w:trHeight w:val="434"/>
        </w:trPr>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2"/>
              </w:rPr>
              <w:t>NextGel</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0" w:type="dxa"/>
            <w:vAlign w:val="bottom"/>
            <w:gridSpan w:val="16"/>
          </w:tcPr>
          <w:p>
            <w:pPr>
              <w:jc w:val="center"/>
              <w:ind w:right="700"/>
              <w:spacing w:after="0"/>
              <w:rPr>
                <w:sz w:val="20"/>
                <w:szCs w:val="20"/>
                <w:color w:val="auto"/>
              </w:rPr>
            </w:pPr>
            <w:r>
              <w:rPr>
                <w:rFonts w:ascii="Arial" w:cs="Arial" w:eastAsia="Arial" w:hAnsi="Arial"/>
                <w:sz w:val="16"/>
                <w:szCs w:val="16"/>
                <w:b w:val="1"/>
                <w:bCs w:val="1"/>
                <w:color w:val="auto"/>
                <w:w w:val="89"/>
              </w:rPr>
              <w:t>Procaps Colombia</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ind w:left="80"/>
              <w:spacing w:after="0"/>
              <w:rPr>
                <w:sz w:val="20"/>
                <w:szCs w:val="20"/>
                <w:color w:val="auto"/>
              </w:rPr>
            </w:pPr>
            <w:r>
              <w:rPr>
                <w:rFonts w:ascii="Arial" w:cs="Arial" w:eastAsia="Arial" w:hAnsi="Arial"/>
                <w:sz w:val="16"/>
                <w:szCs w:val="16"/>
                <w:b w:val="1"/>
                <w:bCs w:val="1"/>
                <w:color w:val="auto"/>
              </w:rPr>
              <w:t>CAN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CASAND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5"/>
          </w:tcPr>
          <w:p>
            <w:pPr>
              <w:jc w:val="center"/>
              <w:ind w:right="180"/>
              <w:spacing w:after="0" w:line="175" w:lineRule="exact"/>
              <w:rPr>
                <w:sz w:val="20"/>
                <w:szCs w:val="20"/>
                <w:color w:val="auto"/>
              </w:rPr>
            </w:pPr>
            <w:r>
              <w:rPr>
                <w:rFonts w:ascii="Arial" w:cs="Arial" w:eastAsia="Arial" w:hAnsi="Arial"/>
                <w:sz w:val="16"/>
                <w:szCs w:val="16"/>
                <w:b w:val="1"/>
                <w:bCs w:val="1"/>
                <w:color w:val="auto"/>
                <w:w w:val="99"/>
              </w:rPr>
              <w:t>Inter-</w:t>
            </w: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6"/>
          </w:tcPr>
          <w:p>
            <w:pPr>
              <w:jc w:val="center"/>
              <w:ind w:right="200"/>
              <w:spacing w:after="0" w:line="175" w:lineRule="exact"/>
              <w:rPr>
                <w:sz w:val="20"/>
                <w:szCs w:val="20"/>
                <w:color w:val="auto"/>
              </w:rPr>
            </w:pPr>
            <w:r>
              <w:rPr>
                <w:rFonts w:ascii="Arial" w:cs="Arial" w:eastAsia="Arial" w:hAnsi="Arial"/>
                <w:sz w:val="16"/>
                <w:szCs w:val="16"/>
                <w:b w:val="1"/>
                <w:bCs w:val="1"/>
                <w:color w:val="auto"/>
                <w:w w:val="94"/>
              </w:rPr>
              <w:t>Inter-</w:t>
            </w:r>
          </w:p>
        </w:tc>
        <w:tc>
          <w:tcPr>
            <w:tcW w:w="6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4"/>
          </w:tcPr>
          <w:p>
            <w:pPr>
              <w:jc w:val="center"/>
              <w:ind w:right="400"/>
              <w:spacing w:after="0" w:line="175" w:lineRule="exact"/>
              <w:rPr>
                <w:sz w:val="20"/>
                <w:szCs w:val="20"/>
                <w:color w:val="auto"/>
              </w:rPr>
            </w:pPr>
            <w:r>
              <w:rPr>
                <w:rFonts w:ascii="Arial" w:cs="Arial" w:eastAsia="Arial" w:hAnsi="Arial"/>
                <w:sz w:val="16"/>
                <w:szCs w:val="16"/>
                <w:b w:val="1"/>
                <w:bCs w:val="1"/>
                <w:color w:val="auto"/>
                <w:w w:val="99"/>
              </w:rPr>
              <w:t>Inter-</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center"/>
              <w:spacing w:after="0" w:line="175" w:lineRule="exact"/>
              <w:rPr>
                <w:sz w:val="20"/>
                <w:szCs w:val="20"/>
                <w:color w:val="auto"/>
              </w:rPr>
            </w:pPr>
            <w:r>
              <w:rPr>
                <w:rFonts w:ascii="Arial" w:cs="Arial" w:eastAsia="Arial" w:hAnsi="Arial"/>
                <w:sz w:val="16"/>
                <w:szCs w:val="16"/>
                <w:b w:val="1"/>
                <w:bCs w:val="1"/>
                <w:color w:val="auto"/>
                <w:w w:val="99"/>
              </w:rPr>
              <w:t>Inter-</w:t>
            </w: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1"/>
        </w:trPr>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85"/>
              </w:rPr>
              <w:t>segment</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5"/>
              </w:rPr>
              <w:t>segment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Year 2019</w:t>
            </w:r>
          </w:p>
        </w:tc>
        <w:tc>
          <w:tcPr>
            <w:tcW w:w="6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0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9"/>
              </w:rPr>
              <w:t>eliminations</w:t>
            </w:r>
          </w:p>
        </w:tc>
        <w:tc>
          <w:tcPr>
            <w:tcW w:w="720" w:type="dxa"/>
            <w:vAlign w:val="bottom"/>
            <w:gridSpan w:val="5"/>
          </w:tcPr>
          <w:p>
            <w:pPr>
              <w:spacing w:after="0"/>
              <w:rPr>
                <w:sz w:val="20"/>
                <w:szCs w:val="20"/>
                <w:color w:val="auto"/>
              </w:rPr>
            </w:pPr>
            <w:r>
              <w:rPr>
                <w:rFonts w:ascii="Arial" w:cs="Arial" w:eastAsia="Arial" w:hAnsi="Arial"/>
                <w:sz w:val="16"/>
                <w:szCs w:val="16"/>
                <w:b w:val="1"/>
                <w:bCs w:val="1"/>
                <w:color w:val="auto"/>
              </w:rPr>
              <w:t>External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4"/>
          </w:tcPr>
          <w:p>
            <w:pPr>
              <w:ind w:left="12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000" w:type="dxa"/>
            <w:vAlign w:val="bottom"/>
            <w:gridSpan w:val="7"/>
          </w:tcPr>
          <w:p>
            <w:pPr>
              <w:jc w:val="center"/>
              <w:ind w:right="180"/>
              <w:spacing w:after="0"/>
              <w:rPr>
                <w:sz w:val="20"/>
                <w:szCs w:val="20"/>
                <w:color w:val="auto"/>
              </w:rPr>
            </w:pPr>
            <w:r>
              <w:rPr>
                <w:rFonts w:ascii="Arial" w:cs="Arial" w:eastAsia="Arial" w:hAnsi="Arial"/>
                <w:sz w:val="16"/>
                <w:szCs w:val="16"/>
                <w:b w:val="1"/>
                <w:bCs w:val="1"/>
                <w:color w:val="auto"/>
                <w:w w:val="87"/>
              </w:rPr>
              <w:t>eliminations</w:t>
            </w:r>
          </w:p>
        </w:tc>
        <w:tc>
          <w:tcPr>
            <w:tcW w:w="880" w:type="dxa"/>
            <w:vAlign w:val="bottom"/>
            <w:gridSpan w:val="5"/>
          </w:tcPr>
          <w:p>
            <w:pPr>
              <w:ind w:left="20"/>
              <w:spacing w:after="0"/>
              <w:rPr>
                <w:sz w:val="20"/>
                <w:szCs w:val="20"/>
                <w:color w:val="auto"/>
              </w:rPr>
            </w:pPr>
            <w:r>
              <w:rPr>
                <w:rFonts w:ascii="Arial" w:cs="Arial" w:eastAsia="Arial" w:hAnsi="Arial"/>
                <w:sz w:val="16"/>
                <w:szCs w:val="16"/>
                <w:b w:val="1"/>
                <w:bCs w:val="1"/>
                <w:color w:val="auto"/>
              </w:rPr>
              <w:t>External</w:t>
            </w:r>
          </w:p>
        </w:tc>
        <w:tc>
          <w:tcPr>
            <w:tcW w:w="6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9"/>
              </w:rPr>
              <w:t>Total</w:t>
            </w:r>
          </w:p>
        </w:tc>
        <w:tc>
          <w:tcPr>
            <w:tcW w:w="60" w:type="dxa"/>
            <w:vAlign w:val="bottom"/>
          </w:tcPr>
          <w:p>
            <w:pPr>
              <w:spacing w:after="0"/>
              <w:rPr>
                <w:sz w:val="18"/>
                <w:szCs w:val="18"/>
                <w:color w:val="auto"/>
              </w:rPr>
            </w:pPr>
          </w:p>
        </w:tc>
        <w:tc>
          <w:tcPr>
            <w:tcW w:w="104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89"/>
              </w:rPr>
              <w:t>eliminations</w:t>
            </w:r>
          </w:p>
        </w:tc>
        <w:tc>
          <w:tcPr>
            <w:tcW w:w="900" w:type="dxa"/>
            <w:vAlign w:val="bottom"/>
            <w:gridSpan w:val="6"/>
          </w:tcPr>
          <w:p>
            <w:pPr>
              <w:spacing w:after="0"/>
              <w:rPr>
                <w:sz w:val="20"/>
                <w:szCs w:val="20"/>
                <w:color w:val="auto"/>
              </w:rPr>
            </w:pPr>
            <w:r>
              <w:rPr>
                <w:rFonts w:ascii="Arial" w:cs="Arial" w:eastAsia="Arial" w:hAnsi="Arial"/>
                <w:sz w:val="16"/>
                <w:szCs w:val="16"/>
                <w:b w:val="1"/>
                <w:bCs w:val="1"/>
                <w:color w:val="auto"/>
              </w:rPr>
              <w:t>External</w:t>
            </w:r>
          </w:p>
        </w:tc>
        <w:tc>
          <w:tcPr>
            <w:tcW w:w="58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8"/>
                <w:szCs w:val="18"/>
                <w:color w:val="auto"/>
              </w:rPr>
            </w:pPr>
          </w:p>
        </w:tc>
        <w:tc>
          <w:tcPr>
            <w:tcW w:w="8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eliminations</w:t>
            </w: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External</w:t>
            </w:r>
          </w:p>
        </w:tc>
      </w:tr>
      <w:tr>
        <w:trPr>
          <w:trHeight w:val="191"/>
        </w:trPr>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192,247</w:t>
            </w: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(94,958)</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gridSpan w:val="3"/>
            <w:shd w:val="clear" w:color="auto" w:fill="CCEEFF"/>
          </w:tcPr>
          <w:p>
            <w:pPr>
              <w:ind w:left="200"/>
              <w:spacing w:after="0"/>
              <w:rPr>
                <w:sz w:val="20"/>
                <w:szCs w:val="20"/>
                <w:color w:val="auto"/>
              </w:rPr>
            </w:pPr>
            <w:r>
              <w:rPr>
                <w:rFonts w:ascii="Arial" w:cs="Arial" w:eastAsia="Arial" w:hAnsi="Arial"/>
                <w:sz w:val="16"/>
                <w:szCs w:val="16"/>
                <w:color w:val="auto"/>
                <w:w w:val="81"/>
              </w:rPr>
              <w:t>97,289</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124,090</w:t>
            </w: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gridSpan w:val="3"/>
            <w:shd w:val="clear" w:color="auto" w:fill="CCEEFF"/>
          </w:tcPr>
          <w:p>
            <w:pPr>
              <w:ind w:left="420"/>
              <w:spacing w:after="0"/>
              <w:rPr>
                <w:sz w:val="20"/>
                <w:szCs w:val="20"/>
                <w:color w:val="auto"/>
              </w:rPr>
            </w:pPr>
            <w:r>
              <w:rPr>
                <w:rFonts w:ascii="Arial" w:cs="Arial" w:eastAsia="Arial" w:hAnsi="Arial"/>
                <w:sz w:val="16"/>
                <w:szCs w:val="16"/>
                <w:color w:val="auto"/>
                <w:w w:val="74"/>
              </w:rPr>
              <w:t>(3,978)</w:t>
            </w:r>
          </w:p>
        </w:tc>
        <w:tc>
          <w:tcPr>
            <w:tcW w:w="6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120,112</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54,628</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(4,949)</w:t>
            </w: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49,679</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42,332</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(2,271)</w:t>
            </w: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40,061</w:t>
            </w:r>
          </w:p>
        </w:tc>
        <w:tc>
          <w:tcPr>
            <w:tcW w:w="60" w:type="dxa"/>
            <w:vAlign w:val="bottom"/>
            <w:tcBorders>
              <w:top w:val="single" w:sz="8" w:color="CCEEFF"/>
            </w:tcBorders>
            <w:shd w:val="clear" w:color="auto" w:fill="CCEEFF"/>
          </w:tcPr>
          <w:p>
            <w:pPr>
              <w:spacing w:after="0"/>
              <w:rPr>
                <w:sz w:val="16"/>
                <w:szCs w:val="16"/>
                <w:color w:val="auto"/>
              </w:rPr>
            </w:pPr>
          </w:p>
        </w:tc>
      </w:tr>
      <w:tr>
        <w:trPr>
          <w:trHeight w:val="179"/>
        </w:trPr>
        <w:tc>
          <w:tcPr>
            <w:tcW w:w="11260" w:type="dxa"/>
            <w:vAlign w:val="bottom"/>
            <w:gridSpan w:val="63"/>
          </w:tcPr>
          <w:p>
            <w:pPr>
              <w:spacing w:after="0" w:line="179" w:lineRule="exact"/>
              <w:rPr>
                <w:sz w:val="20"/>
                <w:szCs w:val="20"/>
                <w:color w:val="auto"/>
              </w:rPr>
            </w:pPr>
            <w:r>
              <w:rPr>
                <w:rFonts w:ascii="Arial" w:cs="Arial" w:eastAsia="Arial" w:hAnsi="Arial"/>
                <w:sz w:val="16"/>
                <w:szCs w:val="16"/>
                <w:color w:val="auto"/>
              </w:rPr>
              <w:t>Contribution</w:t>
            </w:r>
          </w:p>
        </w:tc>
      </w:tr>
      <w:tr>
        <w:trPr>
          <w:trHeight w:val="204"/>
        </w:trPr>
        <w:tc>
          <w:tcPr>
            <w:tcW w:w="1120" w:type="dxa"/>
            <w:vAlign w:val="bottom"/>
            <w:gridSpan w:val="3"/>
          </w:tcPr>
          <w:p>
            <w:pPr>
              <w:ind w:left="140"/>
              <w:spacing w:after="0"/>
              <w:rPr>
                <w:sz w:val="20"/>
                <w:szCs w:val="20"/>
                <w:color w:val="auto"/>
              </w:rPr>
            </w:pPr>
            <w:r>
              <w:rPr>
                <w:rFonts w:ascii="Arial" w:cs="Arial" w:eastAsia="Arial" w:hAnsi="Arial"/>
                <w:sz w:val="16"/>
                <w:szCs w:val="16"/>
                <w:color w:val="auto"/>
              </w:rPr>
              <w:t>margin 1</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59,590</w:t>
            </w:r>
          </w:p>
        </w:tc>
        <w:tc>
          <w:tcPr>
            <w:tcW w:w="1000" w:type="dxa"/>
            <w:vAlign w:val="bottom"/>
            <w:gridSpan w:val="4"/>
          </w:tcPr>
          <w:p>
            <w:pPr>
              <w:jc w:val="right"/>
              <w:ind w:right="120"/>
              <w:spacing w:after="0"/>
              <w:rPr>
                <w:sz w:val="20"/>
                <w:szCs w:val="20"/>
                <w:color w:val="auto"/>
              </w:rPr>
            </w:pPr>
            <w:r>
              <w:rPr>
                <w:rFonts w:ascii="Arial" w:cs="Arial" w:eastAsia="Arial" w:hAnsi="Arial"/>
                <w:sz w:val="16"/>
                <w:szCs w:val="16"/>
                <w:color w:val="auto"/>
              </w:rPr>
              <w:t>(20,394)</w:t>
            </w:r>
          </w:p>
        </w:tc>
        <w:tc>
          <w:tcPr>
            <w:tcW w:w="20" w:type="dxa"/>
            <w:vAlign w:val="bottom"/>
          </w:tcPr>
          <w:p>
            <w:pPr>
              <w:spacing w:after="0"/>
              <w:rPr>
                <w:sz w:val="17"/>
                <w:szCs w:val="17"/>
                <w:color w:val="auto"/>
              </w:rPr>
            </w:pPr>
          </w:p>
        </w:tc>
        <w:tc>
          <w:tcPr>
            <w:tcW w:w="660" w:type="dxa"/>
            <w:vAlign w:val="bottom"/>
            <w:gridSpan w:val="4"/>
          </w:tcPr>
          <w:p>
            <w:pPr>
              <w:ind w:left="200"/>
              <w:spacing w:after="0"/>
              <w:rPr>
                <w:sz w:val="20"/>
                <w:szCs w:val="20"/>
                <w:color w:val="auto"/>
              </w:rPr>
            </w:pPr>
            <w:r>
              <w:rPr>
                <w:rFonts w:ascii="Arial" w:cs="Arial" w:eastAsia="Arial" w:hAnsi="Arial"/>
                <w:sz w:val="16"/>
                <w:szCs w:val="16"/>
                <w:color w:val="auto"/>
                <w:w w:val="89"/>
              </w:rPr>
              <w:t>39,196</w:t>
            </w:r>
          </w:p>
        </w:tc>
        <w:tc>
          <w:tcPr>
            <w:tcW w:w="60" w:type="dxa"/>
            <w:vAlign w:val="bottom"/>
          </w:tcPr>
          <w:p>
            <w:pPr>
              <w:spacing w:after="0"/>
              <w:rPr>
                <w:sz w:val="17"/>
                <w:szCs w:val="17"/>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6"/>
                <w:szCs w:val="16"/>
                <w:color w:val="auto"/>
              </w:rPr>
              <w:t>46,885</w:t>
            </w:r>
          </w:p>
        </w:tc>
        <w:tc>
          <w:tcPr>
            <w:tcW w:w="20" w:type="dxa"/>
            <w:vAlign w:val="bottom"/>
          </w:tcPr>
          <w:p>
            <w:pPr>
              <w:spacing w:after="0"/>
              <w:rPr>
                <w:sz w:val="17"/>
                <w:szCs w:val="17"/>
                <w:color w:val="auto"/>
              </w:rPr>
            </w:pPr>
          </w:p>
        </w:tc>
        <w:tc>
          <w:tcPr>
            <w:tcW w:w="980" w:type="dxa"/>
            <w:vAlign w:val="bottom"/>
            <w:gridSpan w:val="6"/>
          </w:tcPr>
          <w:p>
            <w:pPr>
              <w:ind w:left="520"/>
              <w:spacing w:after="0"/>
              <w:rPr>
                <w:sz w:val="20"/>
                <w:szCs w:val="20"/>
                <w:color w:val="auto"/>
              </w:rPr>
            </w:pPr>
            <w:r>
              <w:rPr>
                <w:rFonts w:ascii="Arial" w:cs="Arial" w:eastAsia="Arial" w:hAnsi="Arial"/>
                <w:sz w:val="16"/>
                <w:szCs w:val="16"/>
                <w:color w:val="auto"/>
                <w:w w:val="86"/>
              </w:rPr>
              <w:t>(9,465)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37,420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9,625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7,377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6"/>
                <w:szCs w:val="16"/>
                <w:color w:val="auto"/>
                <w:w w:val="89"/>
              </w:rPr>
              <w:t>17,002</w:t>
            </w:r>
          </w:p>
        </w:tc>
        <w:tc>
          <w:tcPr>
            <w:tcW w:w="100" w:type="dxa"/>
            <w:vAlign w:val="bottom"/>
          </w:tcPr>
          <w:p>
            <w:pPr>
              <w:spacing w:after="0"/>
              <w:rPr>
                <w:sz w:val="17"/>
                <w:szCs w:val="17"/>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6"/>
                <w:szCs w:val="16"/>
                <w:color w:val="auto"/>
              </w:rPr>
              <w:t>5,474</w:t>
            </w:r>
          </w:p>
        </w:tc>
        <w:tc>
          <w:tcPr>
            <w:tcW w:w="1060" w:type="dxa"/>
            <w:vAlign w:val="bottom"/>
            <w:gridSpan w:val="5"/>
          </w:tcPr>
          <w:p>
            <w:pPr>
              <w:jc w:val="right"/>
              <w:ind w:right="20"/>
              <w:spacing w:after="0"/>
              <w:rPr>
                <w:sz w:val="20"/>
                <w:szCs w:val="20"/>
                <w:color w:val="auto"/>
              </w:rPr>
            </w:pPr>
            <w:r>
              <w:rPr>
                <w:rFonts w:ascii="Arial" w:cs="Arial" w:eastAsia="Arial" w:hAnsi="Arial"/>
                <w:sz w:val="16"/>
                <w:szCs w:val="16"/>
                <w:color w:val="auto"/>
              </w:rPr>
              <w:t>4,948</w:t>
            </w:r>
          </w:p>
        </w:tc>
        <w:tc>
          <w:tcPr>
            <w:tcW w:w="700" w:type="dxa"/>
            <w:vAlign w:val="bottom"/>
            <w:gridSpan w:val="4"/>
          </w:tcPr>
          <w:p>
            <w:pPr>
              <w:jc w:val="right"/>
              <w:ind w:right="60"/>
              <w:spacing w:after="0"/>
              <w:rPr>
                <w:sz w:val="20"/>
                <w:szCs w:val="20"/>
                <w:color w:val="auto"/>
              </w:rPr>
            </w:pPr>
            <w:r>
              <w:rPr>
                <w:rFonts w:ascii="Arial" w:cs="Arial" w:eastAsia="Arial" w:hAnsi="Arial"/>
                <w:sz w:val="16"/>
                <w:szCs w:val="16"/>
                <w:color w:val="auto"/>
              </w:rPr>
              <w:t>10,422</w:t>
            </w:r>
          </w:p>
        </w:tc>
      </w:tr>
      <w:tr>
        <w:trPr>
          <w:trHeight w:val="577"/>
        </w:trPr>
        <w:tc>
          <w:tcPr>
            <w:tcW w:w="11260" w:type="dxa"/>
            <w:vAlign w:val="bottom"/>
            <w:tcBorders>
              <w:bottom w:val="single" w:sz="8" w:color="auto"/>
            </w:tcBorders>
            <w:gridSpan w:val="63"/>
          </w:tcPr>
          <w:p>
            <w:pPr>
              <w:spacing w:after="0"/>
              <w:rPr>
                <w:sz w:val="20"/>
                <w:szCs w:val="20"/>
                <w:color w:val="auto"/>
              </w:rPr>
            </w:pPr>
            <w:r>
              <w:rPr>
                <w:rFonts w:ascii="Arial" w:cs="Arial" w:eastAsia="Arial" w:hAnsi="Arial"/>
                <w:sz w:val="16"/>
                <w:szCs w:val="16"/>
                <w:color w:val="auto"/>
              </w:rPr>
              <w:t>F-40</w:t>
            </w:r>
          </w:p>
        </w:tc>
      </w:tr>
    </w:tbl>
    <w:p>
      <w:pPr>
        <w:sectPr>
          <w:pgSz w:w="11900" w:h="16838" w:orient="portrait"/>
          <w:cols w:equalWidth="0" w:num="1">
            <w:col w:w="11260"/>
          </w:cols>
          <w:pgMar w:left="320" w:top="792" w:right="319" w:bottom="1440" w:gutter="0" w:footer="0" w:header="0"/>
        </w:sectPr>
      </w:pPr>
    </w:p>
    <w:bookmarkStart w:id="165" w:name="page166"/>
    <w:bookmarkEnd w:id="165"/>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Diabetrics</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4"/>
              </w:rPr>
              <w:t>Corporate</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8"/>
              </w:rPr>
              <w:t>Total</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9"/>
              </w:rPr>
              <w:t>Inter-</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9"/>
              </w:rPr>
              <w:t>Inter-</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160"/>
              <w:spacing w:after="0" w:line="175" w:lineRule="exact"/>
              <w:rPr>
                <w:sz w:val="20"/>
                <w:szCs w:val="20"/>
                <w:color w:val="auto"/>
              </w:rPr>
            </w:pPr>
            <w:r>
              <w:rPr>
                <w:rFonts w:ascii="Arial" w:cs="Arial" w:eastAsia="Arial" w:hAnsi="Arial"/>
                <w:sz w:val="16"/>
                <w:szCs w:val="16"/>
                <w:b w:val="1"/>
                <w:bCs w:val="1"/>
                <w:color w:val="auto"/>
                <w:w w:val="99"/>
              </w:rPr>
              <w:t>Inter-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segment</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segment</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5"/>
              </w:rPr>
              <w:t>segment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2260" w:type="dxa"/>
            <w:vAlign w:val="bottom"/>
            <w:gridSpan w:val="2"/>
          </w:tcPr>
          <w:p>
            <w:pPr>
              <w:spacing w:after="0"/>
              <w:rPr>
                <w:sz w:val="20"/>
                <w:szCs w:val="20"/>
                <w:color w:val="auto"/>
              </w:rPr>
            </w:pPr>
            <w:r>
              <w:rPr>
                <w:rFonts w:ascii="Arial" w:cs="Arial" w:eastAsia="Arial" w:hAnsi="Arial"/>
                <w:sz w:val="16"/>
                <w:szCs w:val="16"/>
                <w:b w:val="1"/>
                <w:bCs w:val="1"/>
                <w:color w:val="auto"/>
              </w:rPr>
              <w:t>Year 2019</w:t>
            </w:r>
          </w:p>
        </w:tc>
        <w:tc>
          <w:tcPr>
            <w:tcW w:w="98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eliminations</w:t>
            </w: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External</w:t>
            </w:r>
          </w:p>
        </w:tc>
        <w:tc>
          <w:tcPr>
            <w:tcW w:w="10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eliminations</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External</w:t>
            </w:r>
          </w:p>
        </w:tc>
        <w:tc>
          <w:tcPr>
            <w:tcW w:w="10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eliminations</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External</w:t>
            </w:r>
          </w:p>
        </w:tc>
      </w:tr>
      <w:tr>
        <w:trPr>
          <w:trHeight w:val="191"/>
        </w:trPr>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36,931</w:t>
            </w:r>
          </w:p>
        </w:tc>
        <w:tc>
          <w:tcPr>
            <w:tcW w:w="2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(14,703)</w:t>
            </w: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22,228</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11,637</w:t>
            </w:r>
          </w:p>
        </w:tc>
        <w:tc>
          <w:tcPr>
            <w:tcW w:w="2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(16,215)</w:t>
            </w: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(4,578)</w:t>
            </w: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461,865</w:t>
            </w:r>
          </w:p>
        </w:tc>
        <w:tc>
          <w:tcPr>
            <w:tcW w:w="2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(137,074)</w:t>
            </w: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324,791</w:t>
            </w:r>
          </w:p>
        </w:tc>
        <w:tc>
          <w:tcPr>
            <w:tcW w:w="100" w:type="dxa"/>
            <w:vAlign w:val="bottom"/>
            <w:tcBorders>
              <w:top w:val="single" w:sz="8" w:color="CCEEFF"/>
            </w:tcBorders>
            <w:shd w:val="clear" w:color="auto" w:fill="CCEEFF"/>
          </w:tcPr>
          <w:p>
            <w:pPr>
              <w:spacing w:after="0"/>
              <w:rPr>
                <w:sz w:val="16"/>
                <w:szCs w:val="16"/>
                <w:color w:val="auto"/>
              </w:rPr>
            </w:pPr>
          </w:p>
        </w:tc>
      </w:tr>
      <w:tr>
        <w:trPr>
          <w:trHeight w:val="191"/>
        </w:trPr>
        <w:tc>
          <w:tcPr>
            <w:tcW w:w="2260" w:type="dxa"/>
            <w:vAlign w:val="bottom"/>
            <w:gridSpan w:val="2"/>
          </w:tcPr>
          <w:p>
            <w:pPr>
              <w:spacing w:after="0"/>
              <w:rPr>
                <w:sz w:val="20"/>
                <w:szCs w:val="20"/>
                <w:color w:val="auto"/>
              </w:rPr>
            </w:pPr>
            <w:r>
              <w:rPr>
                <w:rFonts w:ascii="Arial" w:cs="Arial" w:eastAsia="Arial" w:hAnsi="Arial"/>
                <w:sz w:val="16"/>
                <w:szCs w:val="16"/>
                <w:color w:val="auto"/>
              </w:rPr>
              <w:t>Contribution margin 1</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5,426</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(580)</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4,846</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(8,847)</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(2,351)</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(11,198)</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118,153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(20,465)</w:t>
            </w:r>
          </w:p>
        </w:tc>
        <w:tc>
          <w:tcPr>
            <w:tcW w:w="800" w:type="dxa"/>
            <w:vAlign w:val="bottom"/>
          </w:tcPr>
          <w:p>
            <w:pPr>
              <w:jc w:val="right"/>
              <w:spacing w:after="0"/>
              <w:rPr>
                <w:sz w:val="20"/>
                <w:szCs w:val="20"/>
                <w:color w:val="auto"/>
              </w:rPr>
            </w:pPr>
            <w:r>
              <w:rPr>
                <w:rFonts w:ascii="Arial" w:cs="Arial" w:eastAsia="Arial" w:hAnsi="Arial"/>
                <w:sz w:val="16"/>
                <w:szCs w:val="16"/>
                <w:color w:val="auto"/>
              </w:rPr>
              <w:t>97,688</w:t>
            </w:r>
          </w:p>
        </w:tc>
        <w:tc>
          <w:tcPr>
            <w:tcW w:w="100" w:type="dxa"/>
            <w:vAlign w:val="bottom"/>
          </w:tcPr>
          <w:p>
            <w:pPr>
              <w:spacing w:after="0"/>
              <w:rPr>
                <w:sz w:val="16"/>
                <w:szCs w:val="16"/>
                <w:color w:val="auto"/>
              </w:rPr>
            </w:pPr>
          </w:p>
        </w:tc>
      </w:tr>
      <w:tr>
        <w:trPr>
          <w:trHeight w:val="191"/>
        </w:trPr>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Administrative expenses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60,257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60,257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60,257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60,257</w:t>
            </w:r>
          </w:p>
        </w:tc>
        <w:tc>
          <w:tcPr>
            <w:tcW w:w="100" w:type="dxa"/>
            <w:vAlign w:val="bottom"/>
            <w:shd w:val="clear" w:color="auto" w:fill="CCEEFF"/>
          </w:tcPr>
          <w:p>
            <w:pPr>
              <w:spacing w:after="0"/>
              <w:rPr>
                <w:sz w:val="16"/>
                <w:szCs w:val="16"/>
                <w:color w:val="auto"/>
              </w:rPr>
            </w:pPr>
          </w:p>
        </w:tc>
      </w:tr>
      <w:tr>
        <w:trPr>
          <w:trHeight w:val="191"/>
        </w:trPr>
        <w:tc>
          <w:tcPr>
            <w:tcW w:w="2260" w:type="dxa"/>
            <w:vAlign w:val="bottom"/>
            <w:gridSpan w:val="2"/>
          </w:tcPr>
          <w:p>
            <w:pPr>
              <w:spacing w:after="0"/>
              <w:rPr>
                <w:sz w:val="20"/>
                <w:szCs w:val="20"/>
                <w:color w:val="auto"/>
              </w:rPr>
            </w:pPr>
            <w:r>
              <w:rPr>
                <w:rFonts w:ascii="Arial" w:cs="Arial" w:eastAsia="Arial" w:hAnsi="Arial"/>
                <w:sz w:val="16"/>
                <w:szCs w:val="16"/>
                <w:color w:val="auto"/>
              </w:rPr>
              <w:t>Finance expenses</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42,983</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42,983</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42,983</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42,983</w:t>
            </w:r>
          </w:p>
        </w:tc>
        <w:tc>
          <w:tcPr>
            <w:tcW w:w="100" w:type="dxa"/>
            <w:vAlign w:val="bottom"/>
          </w:tcPr>
          <w:p>
            <w:pPr>
              <w:spacing w:after="0"/>
              <w:rPr>
                <w:sz w:val="16"/>
                <w:szCs w:val="16"/>
                <w:color w:val="auto"/>
              </w:rPr>
            </w:pPr>
          </w:p>
        </w:tc>
      </w:tr>
      <w:tr>
        <w:trPr>
          <w:trHeight w:val="211"/>
        </w:trPr>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4,426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4,426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4,426</w:t>
            </w:r>
          </w:p>
        </w:tc>
        <w:tc>
          <w:tcPr>
            <w:tcW w:w="100" w:type="dxa"/>
            <w:vAlign w:val="bottom"/>
            <w:shd w:val="clear" w:color="auto" w:fill="CCEEFF"/>
          </w:tcPr>
          <w:p>
            <w:pPr>
              <w:spacing w:after="0"/>
              <w:rPr>
                <w:sz w:val="18"/>
                <w:szCs w:val="18"/>
                <w:color w:val="auto"/>
              </w:rPr>
            </w:pPr>
          </w:p>
        </w:tc>
      </w:tr>
      <w:tr>
        <w:trPr>
          <w:trHeight w:val="175"/>
        </w:trPr>
        <w:tc>
          <w:tcPr>
            <w:tcW w:w="2260" w:type="dxa"/>
            <w:vAlign w:val="bottom"/>
            <w:tcBorders>
              <w:top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Income (loss) before tax</w:t>
            </w: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10,487</w:t>
            </w:r>
          </w:p>
        </w:tc>
        <w:tc>
          <w:tcPr>
            <w:tcW w:w="22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(20,465</w:t>
            </w:r>
          </w:p>
        </w:tc>
        <w:tc>
          <w:tcPr>
            <w:tcW w:w="200" w:type="dxa"/>
            <w:vAlign w:val="bottom"/>
            <w:tcBorders>
              <w:top w:val="single" w:sz="8" w:color="CCEEFF"/>
            </w:tcBorders>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8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(9,978</w:t>
            </w:r>
          </w:p>
        </w:tc>
        <w:tc>
          <w:tcPr>
            <w:tcW w:w="100" w:type="dxa"/>
            <w:vAlign w:val="bottom"/>
            <w:tcBorders>
              <w:top w:val="single" w:sz="8" w:color="CCEEFF"/>
            </w:tcBorders>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4"/>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79" w:lineRule="exact"/>
        <w:rPr>
          <w:sz w:val="20"/>
          <w:szCs w:val="20"/>
          <w:color w:val="auto"/>
        </w:rPr>
      </w:pPr>
    </w:p>
    <w:p>
      <w:pPr>
        <w:ind w:left="284" w:right="20" w:hanging="284"/>
        <w:spacing w:after="0" w:line="191" w:lineRule="auto"/>
        <w:tabs>
          <w:tab w:leader="none" w:pos="284" w:val="left"/>
        </w:tabs>
        <w:numPr>
          <w:ilvl w:val="0"/>
          <w:numId w:val="88"/>
        </w:numPr>
        <w:rPr>
          <w:rFonts w:ascii="Arial" w:cs="Arial" w:eastAsia="Arial" w:hAnsi="Arial"/>
          <w:sz w:val="27"/>
          <w:szCs w:val="27"/>
          <w:color w:val="auto"/>
          <w:vertAlign w:val="superscript"/>
        </w:rPr>
      </w:pPr>
      <w:r>
        <w:rPr>
          <w:rFonts w:ascii="Arial" w:cs="Arial" w:eastAsia="Arial" w:hAnsi="Arial"/>
          <w:sz w:val="16"/>
          <w:szCs w:val="16"/>
          <w:color w:val="auto"/>
        </w:rPr>
        <w:t>Contribution margin is determined by subtracting sales and marketing expenses from gross profit. The Group’s customer revenue recognition (external revenue) policy has been consistent with inter-segment revenue generated.</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Major customer</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Group does not have revenue from a single customer in excess of ten percent of its consolidated revenue.</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Geographical information</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presenting information on the basis of geographical segments, segment revenue is based on the geographical location of the customers.</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7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South America</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284,068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249,983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241,654</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Central America</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72,188</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58,082</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63,812</w:t>
            </w: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North America</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44,857</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12,576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15,202</w:t>
            </w:r>
          </w:p>
        </w:tc>
      </w:tr>
      <w:tr>
        <w:trPr>
          <w:trHeight w:val="207"/>
        </w:trPr>
        <w:tc>
          <w:tcPr>
            <w:tcW w:w="7320" w:type="dxa"/>
            <w:vAlign w:val="bottom"/>
          </w:tcPr>
          <w:p>
            <w:pPr>
              <w:spacing w:after="0"/>
              <w:rPr>
                <w:sz w:val="20"/>
                <w:szCs w:val="20"/>
                <w:color w:val="auto"/>
              </w:rPr>
            </w:pPr>
            <w:r>
              <w:rPr>
                <w:rFonts w:ascii="Arial" w:cs="Arial" w:eastAsia="Arial" w:hAnsi="Arial"/>
                <w:sz w:val="16"/>
                <w:szCs w:val="16"/>
                <w:color w:val="auto"/>
              </w:rPr>
              <w:t>Europe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8,629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10,826</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4,124</w:t>
            </w:r>
          </w:p>
        </w:tc>
      </w:tr>
      <w:tr>
        <w:trPr>
          <w:trHeight w:val="195"/>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409,742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331,467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324,792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Changes in measurement methods</w:t>
      </w:r>
    </w:p>
    <w:p>
      <w:pPr>
        <w:spacing w:after="0" w:line="198" w:lineRule="exact"/>
        <w:rPr>
          <w:sz w:val="20"/>
          <w:szCs w:val="20"/>
          <w:color w:val="auto"/>
        </w:rPr>
      </w:pPr>
    </w:p>
    <w:p>
      <w:pPr>
        <w:jc w:val="both"/>
        <w:ind w:left="4"/>
        <w:spacing w:after="0" w:line="273" w:lineRule="auto"/>
        <w:rPr>
          <w:sz w:val="20"/>
          <w:szCs w:val="20"/>
          <w:color w:val="auto"/>
        </w:rPr>
      </w:pPr>
      <w:r>
        <w:rPr>
          <w:rFonts w:ascii="Arial" w:cs="Arial" w:eastAsia="Arial" w:hAnsi="Arial"/>
          <w:sz w:val="15"/>
          <w:szCs w:val="15"/>
          <w:color w:val="auto"/>
        </w:rPr>
        <w:t>The Group may periodically change business segments or reclassify business segment results based on modifications in management reporting methodologies or changes in organizational alignment. After the second quarter of 2021, the Group changed its internal measurement of segment profit and loss, reported to the chief operating decision maker for allocating resources to the segments and assessing its performance purposes. A modification was made in how cost of goods sold is measured in each segment by revising the allocation of standard cost inventory variances. As such, 2020 and 2019 results have been recast to conform with the current period presentation. The result of this measurement change reduced the 2020 (2019) reported contribution margin for NextGel, Procaps Colombia and CAN, by $2.4 million ($3.8 million), $3.2 million ($4.0 million) and $1.9 million ($1.5 million), respectively, with an offsetting increase in the Corporate category. This change in measurement of our segment results did not have any impact to the consolidated financial statements.</w:t>
      </w:r>
    </w:p>
    <w:p>
      <w:pPr>
        <w:spacing w:after="0" w:line="34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166" w:name="page167"/>
    <w:bookmarkEnd w:id="166"/>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7320" w:type="dxa"/>
            <w:vAlign w:val="bottom"/>
          </w:tcPr>
          <w:p>
            <w:pPr>
              <w:spacing w:after="0"/>
              <w:rPr>
                <w:sz w:val="20"/>
                <w:szCs w:val="20"/>
                <w:color w:val="auto"/>
              </w:rPr>
            </w:pPr>
            <w:r>
              <w:rPr>
                <w:rFonts w:ascii="Arial" w:cs="Arial" w:eastAsia="Arial" w:hAnsi="Arial"/>
                <w:sz w:val="16"/>
                <w:szCs w:val="16"/>
                <w:b w:val="1"/>
                <w:bCs w:val="1"/>
                <w:color w:val="auto"/>
              </w:rPr>
              <w:t>Note 9. Finance expenses, 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8"/>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8"/>
              </w:rPr>
              <w:t>As of December 31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7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Banking expenses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Bank fees</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2,263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986</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855</w:t>
            </w: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Other financial expenses</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354</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281</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157</w:t>
            </w: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Net fair value gain of warrant liabilities</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(5,851)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Net fair value gain of shares held in escrow</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(4,506)</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732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85,320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52,632</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41,543</w:t>
            </w:r>
          </w:p>
        </w:tc>
      </w:tr>
      <w:tr>
        <w:trPr>
          <w:trHeight w:val="195"/>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78,636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54,489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42,983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In 2021, interest on lease liabilities amounted to $720 (2020: $601, 2019: $771). Refer to Note 3.3. Leases - Right-of-use assets &amp; lease liabilities for method of recognition of interest expense applied by the Group.</w:t>
      </w:r>
    </w:p>
    <w:p>
      <w:pPr>
        <w:spacing w:after="0" w:line="152" w:lineRule="exact"/>
        <w:rPr>
          <w:sz w:val="20"/>
          <w:szCs w:val="20"/>
          <w:color w:val="auto"/>
        </w:rPr>
      </w:pPr>
    </w:p>
    <w:p>
      <w:pPr>
        <w:jc w:val="both"/>
        <w:ind w:left="4"/>
        <w:spacing w:after="0" w:line="301" w:lineRule="auto"/>
        <w:rPr>
          <w:sz w:val="20"/>
          <w:szCs w:val="20"/>
          <w:color w:val="auto"/>
        </w:rPr>
      </w:pPr>
      <w:r>
        <w:rPr>
          <w:rFonts w:ascii="Arial" w:cs="Arial" w:eastAsia="Arial" w:hAnsi="Arial"/>
          <w:sz w:val="14"/>
          <w:szCs w:val="14"/>
          <w:color w:val="auto"/>
        </w:rPr>
        <w:t>Interest expense includes the finance expense related to the obligation to repurchase the Group’s ordinary shares from IFC and Hoche under the Put Option Agreements and is measured using the effective interest rate method, inclusive of eligible transaction costs. The amount of interest expense related to the put options recognized in 2021 amounts to $23,506 (2020: $27,344, 2019: $13,664). Additionally, an extinguishment loss of $35,920 was recognized, reflecting the re-negotiated commencement date for the annual return of the obligation under the Put Option Agreement with Hoche. On the effectiveness of the Transaction, September 29, 2021, both Put Option Agreements were terminated in exchange for ordinary shares issued by Holdco. The termination of the put option resulted in the associated liabilities to be reclassified into Company’s equity.</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6380" w:type="dxa"/>
            <w:vAlign w:val="bottom"/>
          </w:tcPr>
          <w:p>
            <w:pPr>
              <w:spacing w:after="0"/>
              <w:rPr>
                <w:sz w:val="20"/>
                <w:szCs w:val="20"/>
                <w:color w:val="auto"/>
              </w:rPr>
            </w:pPr>
            <w:r>
              <w:rPr>
                <w:rFonts w:ascii="Arial" w:cs="Arial" w:eastAsia="Arial" w:hAnsi="Arial"/>
                <w:sz w:val="16"/>
                <w:szCs w:val="16"/>
                <w:color w:val="auto"/>
              </w:rPr>
              <w:t>The Group did not realize any significant finance income during 2021, 2020 or 2019.</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2"/>
        </w:trPr>
        <w:tc>
          <w:tcPr>
            <w:tcW w:w="6380" w:type="dxa"/>
            <w:vAlign w:val="bottom"/>
          </w:tcPr>
          <w:p>
            <w:pPr>
              <w:spacing w:after="0"/>
              <w:rPr>
                <w:sz w:val="20"/>
                <w:szCs w:val="20"/>
                <w:color w:val="auto"/>
              </w:rPr>
            </w:pPr>
            <w:r>
              <w:rPr>
                <w:rFonts w:ascii="Arial" w:cs="Arial" w:eastAsia="Arial" w:hAnsi="Arial"/>
                <w:sz w:val="16"/>
                <w:szCs w:val="16"/>
                <w:b w:val="1"/>
                <w:bCs w:val="1"/>
                <w:color w:val="auto"/>
              </w:rPr>
              <w:t>Note 10. Other expenses, net</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6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8"/>
              </w:rPr>
              <w:t>As of December 31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63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r>
      <w:tr>
        <w:trPr>
          <w:trHeight w:val="191"/>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Currency exchange rate differences</w:t>
            </w: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120" w:type="dxa"/>
            <w:vAlign w:val="bottom"/>
            <w:shd w:val="clear" w:color="auto" w:fill="CCEEFF"/>
          </w:tcPr>
          <w:p>
            <w:pPr>
              <w:spacing w:after="0"/>
              <w:rPr>
                <w:sz w:val="16"/>
                <w:szCs w:val="16"/>
                <w:color w:val="auto"/>
              </w:rPr>
            </w:pPr>
          </w:p>
        </w:tc>
      </w:tr>
      <w:tr>
        <w:trPr>
          <w:trHeight w:val="191"/>
        </w:trPr>
        <w:tc>
          <w:tcPr>
            <w:tcW w:w="6380" w:type="dxa"/>
            <w:vAlign w:val="bottom"/>
          </w:tcPr>
          <w:p>
            <w:pPr>
              <w:spacing w:after="0"/>
              <w:rPr>
                <w:sz w:val="20"/>
                <w:szCs w:val="20"/>
                <w:color w:val="auto"/>
              </w:rPr>
            </w:pPr>
            <w:r>
              <w:rPr>
                <w:rFonts w:ascii="Arial" w:cs="Arial" w:eastAsia="Arial" w:hAnsi="Arial"/>
                <w:sz w:val="16"/>
                <w:szCs w:val="16"/>
                <w:color w:val="auto"/>
              </w:rPr>
              <w:t>Economic emergency contribution expenses</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1,385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811</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796</w:t>
            </w:r>
          </w:p>
        </w:tc>
      </w:tr>
      <w:tr>
        <w:trPr>
          <w:trHeight w:val="191"/>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Fines, surcharges, penalties and taxes assumed</w:t>
            </w: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1,426</w:t>
            </w:r>
          </w:p>
        </w:tc>
      </w:tr>
      <w:tr>
        <w:trPr>
          <w:trHeight w:val="191"/>
        </w:trPr>
        <w:tc>
          <w:tcPr>
            <w:tcW w:w="6380" w:type="dxa"/>
            <w:vAlign w:val="bottom"/>
          </w:tcPr>
          <w:p>
            <w:pPr>
              <w:spacing w:after="0"/>
              <w:rPr>
                <w:sz w:val="20"/>
                <w:szCs w:val="20"/>
                <w:color w:val="auto"/>
              </w:rPr>
            </w:pPr>
            <w:r>
              <w:rPr>
                <w:rFonts w:ascii="Arial" w:cs="Arial" w:eastAsia="Arial" w:hAnsi="Arial"/>
                <w:sz w:val="16"/>
                <w:szCs w:val="16"/>
                <w:color w:val="auto"/>
              </w:rPr>
              <w:t>Donations</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720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716</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650</w:t>
            </w:r>
          </w:p>
        </w:tc>
      </w:tr>
      <w:tr>
        <w:trPr>
          <w:trHeight w:val="191"/>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Listing expense (a)</w:t>
            </w: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73,917</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6380" w:type="dxa"/>
            <w:vAlign w:val="bottom"/>
          </w:tcPr>
          <w:p>
            <w:pPr>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(1,832)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844</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(273)</w:t>
            </w:r>
          </w:p>
        </w:tc>
      </w:tr>
      <w:tr>
        <w:trPr>
          <w:trHeight w:val="195"/>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78,991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7,716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4,426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ind w:left="284" w:right="20" w:hanging="284"/>
        <w:spacing w:after="0" w:line="349" w:lineRule="auto"/>
        <w:tabs>
          <w:tab w:leader="none" w:pos="284"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Corresponds to the difference between the fair value of the net assets received through the SPAC and the value of the equity interest issued, adjusted by dilutive effect of shares held in escrow at a weighted average fair value per share. Refer to Note 26.1. Reverse reorganization for further information related to the Transaction.</w:t>
      </w:r>
    </w:p>
    <w:p>
      <w:pPr>
        <w:spacing w:after="0" w:line="29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20"/>
                <w:szCs w:val="20"/>
                <w:color w:val="auto"/>
              </w:rPr>
            </w:pPr>
            <w:r>
              <w:rPr>
                <w:rFonts w:ascii="Arial" w:cs="Arial" w:eastAsia="Arial" w:hAnsi="Arial"/>
                <w:sz w:val="16"/>
                <w:szCs w:val="16"/>
                <w:b w:val="1"/>
                <w:bCs w:val="1"/>
                <w:color w:val="auto"/>
              </w:rPr>
              <w:t>Note 11. Income tax</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2"/>
        </w:trPr>
        <w:tc>
          <w:tcPr>
            <w:tcW w:w="7320" w:type="dxa"/>
            <w:vAlign w:val="bottom"/>
          </w:tcPr>
          <w:p>
            <w:pPr>
              <w:spacing w:after="0"/>
              <w:rPr>
                <w:sz w:val="20"/>
                <w:szCs w:val="20"/>
                <w:color w:val="auto"/>
              </w:rPr>
            </w:pPr>
            <w:r>
              <w:rPr>
                <w:rFonts w:ascii="Arial" w:cs="Arial" w:eastAsia="Arial" w:hAnsi="Arial"/>
                <w:sz w:val="16"/>
                <w:szCs w:val="16"/>
                <w:i w:val="1"/>
                <w:iCs w:val="1"/>
                <w:color w:val="auto"/>
              </w:rPr>
              <w:t>Income tax recognized through profit or loss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w w:val="90"/>
              </w:rPr>
              <w:t>As of December 31</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7320" w:type="dxa"/>
            <w:vAlign w:val="bottom"/>
          </w:tcPr>
          <w:p>
            <w:pPr>
              <w:spacing w:after="0"/>
              <w:rPr>
                <w:sz w:val="18"/>
                <w:szCs w:val="18"/>
                <w:color w:val="auto"/>
              </w:rPr>
            </w:pP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year</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9"/>
        </w:trPr>
        <w:tc>
          <w:tcPr>
            <w:tcW w:w="732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Current tax expense</w:t>
            </w: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12,250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7,491</w:t>
            </w:r>
          </w:p>
        </w:tc>
        <w:tc>
          <w:tcPr>
            <w:tcW w:w="2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8,118</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91"/>
        </w:trPr>
        <w:tc>
          <w:tcPr>
            <w:tcW w:w="7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7"/>
        </w:trPr>
        <w:tc>
          <w:tcPr>
            <w:tcW w:w="7320" w:type="dxa"/>
            <w:vAlign w:val="bottom"/>
          </w:tcPr>
          <w:p>
            <w:pPr>
              <w:spacing w:after="0"/>
              <w:rPr>
                <w:sz w:val="20"/>
                <w:szCs w:val="20"/>
                <w:color w:val="auto"/>
              </w:rPr>
            </w:pPr>
            <w:r>
              <w:rPr>
                <w:rFonts w:ascii="Arial" w:cs="Arial" w:eastAsia="Arial" w:hAnsi="Arial"/>
                <w:sz w:val="16"/>
                <w:szCs w:val="16"/>
                <w:color w:val="auto"/>
              </w:rPr>
              <w:t>Origination and reversal of temporary differences</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1,455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3,805</w:t>
            </w:r>
          </w:p>
        </w:tc>
        <w:tc>
          <w:tcPr>
            <w:tcW w:w="22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6"/>
                <w:szCs w:val="16"/>
                <w:color w:val="auto"/>
              </w:rPr>
              <w:t>(1,083)</w:t>
            </w:r>
          </w:p>
        </w:tc>
      </w:tr>
      <w:tr>
        <w:trPr>
          <w:trHeight w:val="195"/>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Deferred tax expense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3,805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(1,083</w:t>
            </w:r>
          </w:p>
        </w:tc>
        <w:tc>
          <w:tcPr>
            <w:tcW w:w="1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r>
      <w:tr>
        <w:trPr>
          <w:trHeight w:val="195"/>
        </w:trPr>
        <w:tc>
          <w:tcPr>
            <w:tcW w:w="73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211"/>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tax expense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13,705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11,296</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7,035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366"/>
        </w:trPr>
        <w:tc>
          <w:tcPr>
            <w:tcW w:w="7320" w:type="dxa"/>
            <w:vAlign w:val="bottom"/>
          </w:tcPr>
          <w:p>
            <w:pPr>
              <w:spacing w:after="0"/>
              <w:rPr>
                <w:sz w:val="20"/>
                <w:szCs w:val="20"/>
                <w:color w:val="auto"/>
              </w:rPr>
            </w:pPr>
            <w:r>
              <w:rPr>
                <w:rFonts w:ascii="Arial" w:cs="Arial" w:eastAsia="Arial" w:hAnsi="Arial"/>
                <w:sz w:val="16"/>
                <w:szCs w:val="16"/>
                <w:i w:val="1"/>
                <w:iCs w:val="1"/>
                <w:color w:val="auto"/>
              </w:rPr>
              <w:t>Reconciliation of effective tax rate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6"/>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w w:val="90"/>
              </w:rPr>
              <w:t>As of December 31</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7320" w:type="dxa"/>
            <w:vAlign w:val="bottom"/>
          </w:tcPr>
          <w:p>
            <w:pPr>
              <w:spacing w:after="0"/>
              <w:rPr>
                <w:sz w:val="16"/>
                <w:szCs w:val="16"/>
                <w:color w:val="auto"/>
              </w:rPr>
            </w:pP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6"/>
                <w:szCs w:val="16"/>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Profit/ (loss) before tax</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(87,158</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(9,978</w:t>
            </w:r>
          </w:p>
        </w:tc>
        <w:tc>
          <w:tcPr>
            <w:tcW w:w="1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r>
      <w:tr>
        <w:trPr>
          <w:trHeight w:val="175"/>
        </w:trPr>
        <w:tc>
          <w:tcPr>
            <w:tcW w:w="7320" w:type="dxa"/>
            <w:vAlign w:val="bottom"/>
          </w:tcPr>
          <w:p>
            <w:pPr>
              <w:spacing w:after="0" w:line="175" w:lineRule="exact"/>
              <w:rPr>
                <w:sz w:val="20"/>
                <w:szCs w:val="20"/>
                <w:color w:val="auto"/>
              </w:rPr>
            </w:pPr>
            <w:r>
              <w:rPr>
                <w:rFonts w:ascii="Arial" w:cs="Arial" w:eastAsia="Arial" w:hAnsi="Arial"/>
                <w:sz w:val="16"/>
                <w:szCs w:val="16"/>
                <w:color w:val="auto"/>
              </w:rPr>
              <w:t>Income tax (benefit)/expense</w:t>
            </w: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(14,817)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297</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(3,492)</w:t>
            </w:r>
          </w:p>
        </w:tc>
        <w:tc>
          <w:tcPr>
            <w:tcW w:w="120" w:type="dxa"/>
            <w:vAlign w:val="bottom"/>
            <w:gridSpan w:val="2"/>
          </w:tcPr>
          <w:p>
            <w:pPr>
              <w:spacing w:after="0"/>
              <w:rPr>
                <w:sz w:val="15"/>
                <w:szCs w:val="15"/>
                <w:color w:val="auto"/>
              </w:rPr>
            </w:pP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Tax effect of expenses that are not deductible in determining taxable profit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49,442</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13,525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8,289</w:t>
            </w:r>
          </w:p>
        </w:tc>
        <w:tc>
          <w:tcPr>
            <w:tcW w:w="100" w:type="dxa"/>
            <w:vAlign w:val="bottom"/>
            <w:shd w:val="clear" w:color="auto" w:fill="CCEEFF"/>
          </w:tcPr>
          <w:p>
            <w:pPr>
              <w:spacing w:after="0"/>
              <w:rPr>
                <w:sz w:val="16"/>
                <w:szCs w:val="16"/>
                <w:color w:val="auto"/>
              </w:rPr>
            </w:pP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Tax effect of income not taxable in determining taxable profit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(8,822)</w:t>
            </w:r>
          </w:p>
        </w:tc>
        <w:tc>
          <w:tcPr>
            <w:tcW w:w="1480" w:type="dxa"/>
            <w:vAlign w:val="bottom"/>
            <w:gridSpan w:val="3"/>
          </w:tcPr>
          <w:p>
            <w:pPr>
              <w:jc w:val="right"/>
              <w:ind w:right="160"/>
              <w:spacing w:after="0"/>
              <w:rPr>
                <w:sz w:val="20"/>
                <w:szCs w:val="20"/>
                <w:color w:val="auto"/>
              </w:rPr>
            </w:pPr>
            <w:r>
              <w:rPr>
                <w:rFonts w:ascii="Arial" w:cs="Arial" w:eastAsia="Arial" w:hAnsi="Arial"/>
                <w:sz w:val="16"/>
                <w:szCs w:val="16"/>
                <w:color w:val="auto"/>
              </w:rPr>
              <w:t>(7,754)</w:t>
            </w:r>
          </w:p>
        </w:tc>
        <w:tc>
          <w:tcPr>
            <w:tcW w:w="1220" w:type="dxa"/>
            <w:vAlign w:val="bottom"/>
            <w:gridSpan w:val="3"/>
          </w:tcPr>
          <w:p>
            <w:pPr>
              <w:jc w:val="right"/>
              <w:ind w:right="60"/>
              <w:spacing w:after="0"/>
              <w:rPr>
                <w:sz w:val="20"/>
                <w:szCs w:val="20"/>
                <w:color w:val="auto"/>
              </w:rPr>
            </w:pPr>
            <w:r>
              <w:rPr>
                <w:rFonts w:ascii="Arial" w:cs="Arial" w:eastAsia="Arial" w:hAnsi="Arial"/>
                <w:sz w:val="16"/>
                <w:szCs w:val="16"/>
                <w:color w:val="auto"/>
              </w:rPr>
              <w:t>(10,550)</w:t>
            </w: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Effect of different tax rates of subsidiaries operating in other jurisdictions</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1,960</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6"/>
                <w:szCs w:val="16"/>
                <w:color w:val="auto"/>
              </w:rPr>
            </w:pPr>
          </w:p>
        </w:tc>
      </w:tr>
      <w:tr>
        <w:trPr>
          <w:trHeight w:val="179"/>
        </w:trPr>
        <w:tc>
          <w:tcPr>
            <w:tcW w:w="7320" w:type="dxa"/>
            <w:vAlign w:val="bottom"/>
          </w:tcPr>
          <w:p>
            <w:pPr>
              <w:spacing w:after="0" w:line="179" w:lineRule="exact"/>
              <w:rPr>
                <w:sz w:val="20"/>
                <w:szCs w:val="20"/>
                <w:color w:val="auto"/>
              </w:rPr>
            </w:pPr>
            <w:r>
              <w:rPr>
                <w:rFonts w:ascii="Arial" w:cs="Arial" w:eastAsia="Arial" w:hAnsi="Arial"/>
                <w:sz w:val="16"/>
                <w:szCs w:val="16"/>
                <w:color w:val="auto"/>
                <w:w w:val="98"/>
              </w:rPr>
              <w:t>Others - Includes exchange effects for reversal rates of long-term temporary differences, income taxed at</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7320" w:type="dxa"/>
            <w:vAlign w:val="bottom"/>
          </w:tcPr>
          <w:p>
            <w:pPr>
              <w:spacing w:after="0"/>
              <w:rPr>
                <w:sz w:val="20"/>
                <w:szCs w:val="20"/>
                <w:color w:val="auto"/>
              </w:rPr>
            </w:pPr>
            <w:r>
              <w:rPr>
                <w:rFonts w:ascii="Arial" w:cs="Arial" w:eastAsia="Arial" w:hAnsi="Arial"/>
                <w:sz w:val="16"/>
                <w:szCs w:val="16"/>
                <w:color w:val="auto"/>
              </w:rPr>
              <w:t>differential rates, effects of change in deferred tax rate and tax discounts</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(2,675)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3,200</w:t>
            </w:r>
          </w:p>
        </w:tc>
        <w:tc>
          <w:tcPr>
            <w:tcW w:w="2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12,343</w:t>
            </w:r>
          </w:p>
        </w:tc>
        <w:tc>
          <w:tcPr>
            <w:tcW w:w="100" w:type="dxa"/>
            <w:vAlign w:val="bottom"/>
          </w:tcPr>
          <w:p>
            <w:pPr>
              <w:spacing w:after="0"/>
              <w:rPr>
                <w:sz w:val="17"/>
                <w:szCs w:val="17"/>
                <w:color w:val="auto"/>
              </w:rPr>
            </w:pPr>
          </w:p>
        </w:tc>
      </w:tr>
      <w:tr>
        <w:trPr>
          <w:trHeight w:val="21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Tax effect of utilization of tax losses not previously recognized</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r>
      <w:tr>
        <w:trPr>
          <w:trHeight w:val="179"/>
        </w:trPr>
        <w:tc>
          <w:tcPr>
            <w:tcW w:w="732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Tax expense for the year</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13,705</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11,296</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7,035</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The tax rate used for 2021 represents the corporate tax rate of 17% (2020: 35%, 2019: 35%) from Luxembourg on the taxable income payable by the Group, in accordance with the tax laws of said jurisdiction. Income tax for other jurisdictions is calculated based on the substantially enacted nominal tax rates prevailing in the respective jurisdictions. After effectiveness of the Transaction on September 29, 2021, the Group’s corporate tax jurisdiction changed from Malta to Luxembourg where the corporate tax rate is 17%.</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September 14, 2021, Colombia’s President approved the Social Investment Law (Ley de Inversión Social, or the “2021 Colombian Tax Reform”), which included certain tax measures intended to generate additional tax revenues to fund social programs for purposes of mitigating the impact of the COVID-19 pandemic. The 2021 Colombian Tax Reform took effect beginning in 2022 and, among other things, includes a corporate tax rate increase from 30% to 35% for both domestic and foreign entities, permanent establishments and branches.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80" w:type="dxa"/>
            <w:vAlign w:val="bottom"/>
          </w:tcPr>
          <w:p>
            <w:pPr>
              <w:spacing w:after="0"/>
              <w:rPr>
                <w:sz w:val="20"/>
                <w:szCs w:val="20"/>
                <w:color w:val="auto"/>
              </w:rPr>
            </w:pPr>
            <w:r>
              <w:rPr>
                <w:rFonts w:ascii="Arial" w:cs="Arial" w:eastAsia="Arial" w:hAnsi="Arial"/>
                <w:sz w:val="16"/>
                <w:szCs w:val="16"/>
                <w:i w:val="1"/>
                <w:iCs w:val="1"/>
                <w:color w:val="auto"/>
              </w:rPr>
              <w:t>Current tax assets and current tax liabilities: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8"/>
        </w:trPr>
        <w:tc>
          <w:tcPr>
            <w:tcW w:w="8680" w:type="dxa"/>
            <w:vAlign w:val="bottom"/>
          </w:tcPr>
          <w:p>
            <w:pPr>
              <w:spacing w:after="0"/>
              <w:rPr>
                <w:sz w:val="24"/>
                <w:szCs w:val="24"/>
                <w:color w:val="auto"/>
              </w:rPr>
            </w:pPr>
          </w:p>
        </w:tc>
        <w:tc>
          <w:tcPr>
            <w:tcW w:w="258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As of December 31</w:t>
            </w:r>
          </w:p>
        </w:tc>
      </w:tr>
      <w:tr>
        <w:trPr>
          <w:trHeight w:val="207"/>
        </w:trPr>
        <w:tc>
          <w:tcPr>
            <w:tcW w:w="86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Current tax assets</w:t>
            </w: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Income Tax Advance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6,081</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20" w:type="dxa"/>
            <w:vAlign w:val="bottom"/>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Arial" w:cs="Arial" w:eastAsia="Arial" w:hAnsi="Arial"/>
                <w:sz w:val="16"/>
                <w:szCs w:val="16"/>
                <w:color w:val="auto"/>
              </w:rPr>
              <w:t>Income Tax Withholding</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5,880</w:t>
            </w: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Surplus in Private Liquidation</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15,732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8,839</w:t>
            </w:r>
          </w:p>
        </w:tc>
      </w:tr>
      <w:tr>
        <w:trPr>
          <w:trHeight w:val="207"/>
        </w:trPr>
        <w:tc>
          <w:tcPr>
            <w:tcW w:w="8680" w:type="dxa"/>
            <w:vAlign w:val="bottom"/>
          </w:tcPr>
          <w:p>
            <w:pPr>
              <w:spacing w:after="0"/>
              <w:rPr>
                <w:sz w:val="20"/>
                <w:szCs w:val="20"/>
                <w:color w:val="auto"/>
              </w:rPr>
            </w:pPr>
            <w:r>
              <w:rPr>
                <w:rFonts w:ascii="Arial" w:cs="Arial" w:eastAsia="Arial" w:hAnsi="Arial"/>
                <w:sz w:val="16"/>
                <w:szCs w:val="16"/>
                <w:color w:val="auto"/>
              </w:rPr>
              <w:t>Other Tax Assets</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269</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985</w:t>
            </w:r>
          </w:p>
        </w:tc>
      </w:tr>
      <w:tr>
        <w:trPr>
          <w:trHeight w:val="19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22,082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16,774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8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tax liabilities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Arial" w:cs="Arial" w:eastAsia="Arial" w:hAnsi="Arial"/>
                <w:sz w:val="16"/>
                <w:szCs w:val="16"/>
                <w:color w:val="auto"/>
              </w:rPr>
              <w:t>Income Tax Withholding</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(8,982)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(4,690)</w:t>
            </w: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Income Tax Payable</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(2,652)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(4,296)</w:t>
            </w:r>
          </w:p>
        </w:tc>
      </w:tr>
      <w:tr>
        <w:trPr>
          <w:trHeight w:val="207"/>
        </w:trPr>
        <w:tc>
          <w:tcPr>
            <w:tcW w:w="8680" w:type="dxa"/>
            <w:vAlign w:val="bottom"/>
          </w:tcPr>
          <w:p>
            <w:pPr>
              <w:spacing w:after="0"/>
              <w:rPr>
                <w:sz w:val="20"/>
                <w:szCs w:val="20"/>
                <w:color w:val="auto"/>
              </w:rPr>
            </w:pPr>
            <w:r>
              <w:rPr>
                <w:rFonts w:ascii="Arial" w:cs="Arial" w:eastAsia="Arial" w:hAnsi="Arial"/>
                <w:sz w:val="16"/>
                <w:szCs w:val="16"/>
                <w:color w:val="auto"/>
              </w:rPr>
              <w:t>Other Tax Liabilities</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(122)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(407)</w:t>
            </w:r>
          </w:p>
        </w:tc>
      </w:tr>
      <w:tr>
        <w:trPr>
          <w:trHeight w:val="19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(11,756</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(9,393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17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December 31, 2021 and 2020, the following is the detail of the tax losses and excess presumptive income of the Company that have not been used and on which no active deferred tax has been recognized: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7"/>
        </w:trPr>
        <w:tc>
          <w:tcPr>
            <w:tcW w:w="568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Tax Losses not utilized</w:t>
            </w:r>
          </w:p>
        </w:tc>
        <w:tc>
          <w:tcPr>
            <w:tcW w:w="3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Arial" w:cs="Arial" w:eastAsia="Arial" w:hAnsi="Arial"/>
                <w:sz w:val="16"/>
                <w:szCs w:val="16"/>
                <w:color w:val="auto"/>
              </w:rPr>
              <w:t>Tax Credits not utilized</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1"/>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5680" w:type="dxa"/>
            <w:vAlign w:val="bottom"/>
          </w:tcPr>
          <w:p>
            <w:pPr>
              <w:spacing w:after="0"/>
              <w:rPr>
                <w:sz w:val="20"/>
                <w:szCs w:val="20"/>
                <w:color w:val="auto"/>
              </w:rPr>
            </w:pPr>
            <w:r>
              <w:rPr>
                <w:rFonts w:ascii="Arial" w:cs="Arial" w:eastAsia="Arial" w:hAnsi="Arial"/>
                <w:sz w:val="16"/>
                <w:szCs w:val="16"/>
                <w:b w:val="1"/>
                <w:bCs w:val="1"/>
                <w:color w:val="auto"/>
              </w:rPr>
              <w:t>Note 12. Goodwill</w:t>
            </w:r>
          </w:p>
        </w:tc>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7"/>
        </w:trPr>
        <w:tc>
          <w:tcPr>
            <w:tcW w:w="568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beginning of the year/period</w:t>
            </w:r>
          </w:p>
        </w:tc>
        <w:tc>
          <w:tcPr>
            <w:tcW w:w="30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6,863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7,020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680" w:type="dxa"/>
            <w:vAlign w:val="bottom"/>
            <w:vMerge w:val="restart"/>
          </w:tcPr>
          <w:p>
            <w:pPr>
              <w:spacing w:after="0"/>
              <w:rPr>
                <w:sz w:val="20"/>
                <w:szCs w:val="20"/>
                <w:color w:val="auto"/>
              </w:rPr>
            </w:pPr>
            <w:r>
              <w:rPr>
                <w:rFonts w:ascii="Arial" w:cs="Arial" w:eastAsia="Arial" w:hAnsi="Arial"/>
                <w:sz w:val="16"/>
                <w:szCs w:val="16"/>
                <w:color w:val="auto"/>
              </w:rPr>
              <w:t>Effect of movements in foreign exchange</w:t>
            </w:r>
          </w:p>
        </w:tc>
        <w:tc>
          <w:tcPr>
            <w:tcW w:w="3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240" w:type="dxa"/>
            <w:vAlign w:val="bottom"/>
          </w:tcPr>
          <w:p>
            <w:pPr>
              <w:jc w:val="right"/>
              <w:ind w:right="100"/>
              <w:spacing w:after="0" w:line="144" w:lineRule="exact"/>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2"/>
                <w:szCs w:val="12"/>
                <w:color w:val="auto"/>
              </w:rPr>
            </w:pPr>
          </w:p>
        </w:tc>
        <w:tc>
          <w:tcPr>
            <w:tcW w:w="980" w:type="dxa"/>
            <w:vAlign w:val="bottom"/>
            <w:gridSpan w:val="2"/>
          </w:tcPr>
          <w:p>
            <w:pPr>
              <w:jc w:val="right"/>
              <w:ind w:right="60"/>
              <w:spacing w:after="0" w:line="14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4"/>
        </w:trPr>
        <w:tc>
          <w:tcPr>
            <w:tcW w:w="5680" w:type="dxa"/>
            <w:vAlign w:val="bottom"/>
            <w:vMerge w:val="continue"/>
          </w:tcPr>
          <w:p>
            <w:pPr>
              <w:spacing w:after="0"/>
              <w:rPr>
                <w:sz w:val="5"/>
                <w:szCs w:val="5"/>
                <w:color w:val="auto"/>
              </w:rPr>
            </w:pPr>
          </w:p>
        </w:tc>
        <w:tc>
          <w:tcPr>
            <w:tcW w:w="3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gridSpan w:val="2"/>
          </w:tcPr>
          <w:p>
            <w:pPr>
              <w:jc w:val="right"/>
              <w:ind w:right="120"/>
              <w:spacing w:after="0" w:line="60" w:lineRule="exact"/>
              <w:rPr>
                <w:sz w:val="20"/>
                <w:szCs w:val="20"/>
                <w:color w:val="auto"/>
              </w:rPr>
            </w:pPr>
            <w:r>
              <w:rPr>
                <w:rFonts w:ascii="Arial" w:cs="Arial" w:eastAsia="Arial" w:hAnsi="Arial"/>
                <w:sz w:val="6"/>
                <w:szCs w:val="6"/>
                <w:color w:val="auto"/>
              </w:rPr>
              <w:t>(157</w:t>
            </w:r>
          </w:p>
        </w:tc>
        <w:tc>
          <w:tcPr>
            <w:tcW w:w="0" w:type="dxa"/>
            <w:vAlign w:val="bottom"/>
          </w:tcPr>
          <w:p>
            <w:pPr>
              <w:spacing w:after="0"/>
              <w:rPr>
                <w:sz w:val="1"/>
                <w:szCs w:val="1"/>
                <w:color w:val="auto"/>
              </w:rPr>
            </w:pPr>
          </w:p>
        </w:tc>
      </w:tr>
      <w:tr>
        <w:trPr>
          <w:trHeight w:val="195"/>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end of the year/period</w:t>
            </w:r>
          </w:p>
        </w:tc>
        <w:tc>
          <w:tcPr>
            <w:tcW w:w="30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6,803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6,863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and 2020, no goodwill impairment losses were recognized.</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Group completed its annual impairment test for goodwill for the years ended December 31, 2021 and 2020 and concluded that no impairment charge was warranted. The results of the impairment tests indicate the excess of the recoverable amounts over the carrying amounts for each cash generating unit. The Group cannot predict whether an event that triggers impairment will occur, when it will occur or how it will affect the value of the asset reported. The Group believes that all of its estimates are reasonable and are consistent with the Group’s internal reporting and reflect management’s best estimates.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20" w:type="dxa"/>
            <w:vAlign w:val="bottom"/>
          </w:tcPr>
          <w:p>
            <w:pPr>
              <w:spacing w:after="0"/>
              <w:rPr>
                <w:sz w:val="20"/>
                <w:szCs w:val="20"/>
                <w:color w:val="auto"/>
              </w:rPr>
            </w:pPr>
            <w:r>
              <w:rPr>
                <w:rFonts w:ascii="Arial" w:cs="Arial" w:eastAsia="Arial" w:hAnsi="Arial"/>
                <w:sz w:val="16"/>
                <w:szCs w:val="16"/>
                <w:i w:val="1"/>
                <w:iCs w:val="1"/>
                <w:color w:val="auto"/>
              </w:rPr>
              <w:t>Allocation of goodwill to cash generating units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2"/>
        </w:trPr>
        <w:tc>
          <w:tcPr>
            <w:tcW w:w="7820" w:type="dxa"/>
            <w:vAlign w:val="bottom"/>
          </w:tcPr>
          <w:p>
            <w:pPr>
              <w:spacing w:after="0"/>
              <w:rPr>
                <w:sz w:val="20"/>
                <w:szCs w:val="20"/>
                <w:color w:val="auto"/>
              </w:rPr>
            </w:pPr>
            <w:r>
              <w:rPr>
                <w:rFonts w:ascii="Arial" w:cs="Arial" w:eastAsia="Arial" w:hAnsi="Arial"/>
                <w:sz w:val="16"/>
                <w:szCs w:val="16"/>
                <w:color w:val="auto"/>
              </w:rPr>
              <w:t>For the purpose of impairment testing, goodwill has been allocated to the following cash-generating units: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6"/>
        </w:trPr>
        <w:tc>
          <w:tcPr>
            <w:tcW w:w="78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1"/>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Procaps S.A. de C.V (previously Laboratorios Lopez S.A. de C.V.)</w:t>
            </w: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7820" w:type="dxa"/>
            <w:vAlign w:val="bottom"/>
          </w:tcPr>
          <w:p>
            <w:pPr>
              <w:spacing w:after="0"/>
              <w:rPr>
                <w:sz w:val="20"/>
                <w:szCs w:val="20"/>
                <w:color w:val="auto"/>
              </w:rPr>
            </w:pPr>
            <w:r>
              <w:rPr>
                <w:rFonts w:ascii="Arial" w:cs="Arial" w:eastAsia="Arial" w:hAnsi="Arial"/>
                <w:sz w:val="16"/>
                <w:szCs w:val="16"/>
                <w:color w:val="auto"/>
              </w:rPr>
              <w:t>Biokemical S.A. de C.V.</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5,242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5,241</w:t>
            </w:r>
          </w:p>
        </w:tc>
        <w:tc>
          <w:tcPr>
            <w:tcW w:w="100" w:type="dxa"/>
            <w:vAlign w:val="bottom"/>
          </w:tcPr>
          <w:p>
            <w:pPr>
              <w:spacing w:after="0"/>
              <w:rPr>
                <w:sz w:val="16"/>
                <w:szCs w:val="16"/>
                <w:color w:val="auto"/>
              </w:rPr>
            </w:pPr>
          </w:p>
        </w:tc>
      </w:tr>
      <w:tr>
        <w:trPr>
          <w:trHeight w:val="211"/>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Rymco S.A.</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1,073</w:t>
            </w:r>
          </w:p>
        </w:tc>
        <w:tc>
          <w:tcPr>
            <w:tcW w:w="100" w:type="dxa"/>
            <w:vAlign w:val="bottom"/>
            <w:shd w:val="clear" w:color="auto" w:fill="CCEEFF"/>
          </w:tcPr>
          <w:p>
            <w:pPr>
              <w:spacing w:after="0"/>
              <w:rPr>
                <w:sz w:val="18"/>
                <w:szCs w:val="18"/>
                <w:color w:val="auto"/>
              </w:rPr>
            </w:pPr>
          </w:p>
        </w:tc>
      </w:tr>
      <w:tr>
        <w:trPr>
          <w:trHeight w:val="179"/>
        </w:trPr>
        <w:tc>
          <w:tcPr>
            <w:tcW w:w="78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6,803</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6,863</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 xml:space="preserve">Procaps S.A. de C.V (previously Laboratorios Lopez S.A. de C.V.) </w:t>
      </w:r>
      <w:r>
        <w:rPr>
          <w:rFonts w:ascii="Arial" w:cs="Arial" w:eastAsia="Arial" w:hAnsi="Arial"/>
          <w:sz w:val="16"/>
          <w:szCs w:val="16"/>
          <w:color w:val="auto"/>
        </w:rPr>
        <w:t>(manufacturer and distributor of pharmaceutical products) – The recoverable amount of this cash generating</w:t>
      </w:r>
      <w:r>
        <w:rPr>
          <w:rFonts w:ascii="Arial" w:cs="Arial" w:eastAsia="Arial" w:hAnsi="Arial"/>
          <w:sz w:val="16"/>
          <w:szCs w:val="16"/>
          <w:i w:val="1"/>
          <w:iCs w:val="1"/>
          <w:color w:val="auto"/>
        </w:rPr>
        <w:t xml:space="preserve"> </w:t>
      </w:r>
      <w:r>
        <w:rPr>
          <w:rFonts w:ascii="Arial" w:cs="Arial" w:eastAsia="Arial" w:hAnsi="Arial"/>
          <w:sz w:val="16"/>
          <w:szCs w:val="16"/>
          <w:color w:val="auto"/>
        </w:rPr>
        <w:t>unit was determined based on a value-in-use calculation that utilizes cash flow projections from financial budgets approved by the company’s directors over a six-year period, and an annual discount rate of 12.2%. Cash flows that exceed this six-year period have been extrapolated using a fixed annual growth rate of 1.0%. The company use a six-year period for cash flow projection because the position expected at the end of the sixth year represents the stable long-term position. Therefore, the company extrapolates those cash flows into the future using a steady growth rate (second stage).</w:t>
      </w:r>
    </w:p>
    <w:p>
      <w:pPr>
        <w:spacing w:after="0" w:line="17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Cash flow projections during the budgeted period are based on a sales growth rate and fixed gross margins of 6.2% and 49.0%, respectively. The growth rate is estimated by the directors based on past performance and their expectations of market development. The estimated recoverable amount of the cash generated unit exceeded its carrying amount by $10,386 (2020: $8,833).</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 xml:space="preserve">Biokemical S.A. de C.V. </w:t>
      </w:r>
      <w:r>
        <w:rPr>
          <w:rFonts w:ascii="Arial" w:cs="Arial" w:eastAsia="Arial" w:hAnsi="Arial"/>
          <w:sz w:val="16"/>
          <w:szCs w:val="16"/>
          <w:color w:val="auto"/>
        </w:rPr>
        <w:t>(manufacturer and distributor of pharmaceutical products) – The recoverable amount of this cash generating unit was determined based on a value-in-use calculation that utilizes cash flow projections from financial budgets approved by the company’s directors over a six-year period, and an annual discount rate of 13.3%. Cash flows that exceed this six-year period have been extrapolated using an average annual growth rate of 1.0%. The company use a six-year period for cash flow projection because the position expected at the end of the sixth year represents the stable long-term position. Therefore, the company extrapolates those cash flows into the future using a steady growth rate (second stage).</w:t>
      </w:r>
    </w:p>
    <w:p>
      <w:pPr>
        <w:spacing w:after="0" w:line="17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Cash flow projections during the budgeted period are based on a sales growth rate and average gross margins of 3.8% and 41.4%, respectively. The growth rate is estimated by the directors based on past performance and their expectations of market development. The estimated recoverable amount of the cash generated unit exceeded its carrying amount by $5,932 (2020: $1,426).</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i w:val="1"/>
          <w:iCs w:val="1"/>
          <w:color w:val="auto"/>
        </w:rPr>
        <w:t xml:space="preserve">Rymco </w:t>
      </w:r>
      <w:r>
        <w:rPr>
          <w:rFonts w:ascii="Arial" w:cs="Arial" w:eastAsia="Arial" w:hAnsi="Arial"/>
          <w:sz w:val="16"/>
          <w:szCs w:val="16"/>
          <w:color w:val="auto"/>
        </w:rPr>
        <w:t>(manufacturer and seller of syringes, needles and infusion equipment) - The recoverable amount of this cash generating unit was determined based on a value-in-use</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calculation that utilizes cash flow projections from financial budgets approved by the company’s directors over a five-year period, and an annual discount rate of 11.5%. Cash flows that exceed this five-year period have been extrapolated using a fixed annual growth rate of 3.1%.</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Cash flow projections during the budgeted period are based on a sales growth rate and average gross margins of 11.6% and 18.0%, respectively. The growth rate is estimated by the directors based on past performance and their expectations of market development. The estimated recoverable amount of the cash generated unit exceeded its carrying amount by $5,766 (2020: $4,283).</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key assumptions used in the value-in-use calculations for the cash generating units are the following:</w:t>
      </w:r>
    </w:p>
    <w:p>
      <w:pPr>
        <w:spacing w:after="0" w:line="198" w:lineRule="exact"/>
        <w:rPr>
          <w:sz w:val="20"/>
          <w:szCs w:val="20"/>
          <w:color w:val="auto"/>
        </w:rPr>
      </w:pPr>
    </w:p>
    <w:p>
      <w:pPr>
        <w:jc w:val="both"/>
        <w:ind w:left="560" w:hanging="278"/>
        <w:spacing w:after="0" w:line="262" w:lineRule="auto"/>
        <w:tabs>
          <w:tab w:leader="none" w:pos="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Growth rate: the rate is consistent with the growth of the pharmaceutical and medical supplies markets in the current and potential operating areas of the cash generating units. Management considers any potential reasonable change in the key assumptions on which the recoverable amount is based would not cause the total carrying amount to exceed the total recoverable amount of the cash generating unit.</w:t>
      </w:r>
    </w:p>
    <w:p>
      <w:pPr>
        <w:spacing w:after="0" w:line="162" w:lineRule="exact"/>
        <w:rPr>
          <w:rFonts w:ascii="Arial" w:cs="Arial" w:eastAsia="Arial" w:hAnsi="Arial"/>
          <w:sz w:val="16"/>
          <w:szCs w:val="16"/>
          <w:color w:val="auto"/>
        </w:rPr>
      </w:pPr>
    </w:p>
    <w:p>
      <w:pPr>
        <w:jc w:val="both"/>
        <w:ind w:left="560" w:right="20" w:hanging="278"/>
        <w:spacing w:after="0" w:line="262" w:lineRule="auto"/>
        <w:tabs>
          <w:tab w:leader="none" w:pos="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Expected market share: Growth of 6.2% and 3.8% for Procaps S.A. de C.V (previously Laboratorios Lopez S.A. de C.V.) and Biokemical, respectively, in sales is consistent with the increase in population, the increase in life expectancy and the growth of the industry in Latin America. Management considers that the planned growth of market share for the next six years is reasonably achievable.</w:t>
      </w:r>
    </w:p>
    <w:p>
      <w:pPr>
        <w:spacing w:after="0" w:line="162" w:lineRule="exact"/>
        <w:rPr>
          <w:rFonts w:ascii="Arial" w:cs="Arial" w:eastAsia="Arial" w:hAnsi="Arial"/>
          <w:sz w:val="16"/>
          <w:szCs w:val="16"/>
          <w:color w:val="auto"/>
        </w:rPr>
      </w:pPr>
    </w:p>
    <w:p>
      <w:pPr>
        <w:jc w:val="both"/>
        <w:ind w:left="1140" w:hanging="284"/>
        <w:spacing w:after="0" w:line="262" w:lineRule="auto"/>
        <w:tabs>
          <w:tab w:leader="none" w:pos="11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For Rymco, its commercial portfolio is dedicated to assist with the COVID-19 epidemic resulting in enhanced market share. Rymco offers three-layer hospital masks and has the capacity to produce more than 12 million units of masks per month, which has positively impacted market share. Lastly, purchase orders resulted in production at capacity during 2021.</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Expected gross margin: Gross margin decreased by 71.5% in 2021 when compared to 2020. Out of the mentioned decrease, 67.7% is due to Rymco.</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Note 13. Intangible assets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6"/>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Trademarks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Licenses,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and sanitary</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customers and</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Product</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Cost</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records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agreements</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development</w:t>
            </w: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191"/>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2020</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10,908</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17,719</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10,514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39,141</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24</w:t>
            </w:r>
          </w:p>
        </w:tc>
        <w:tc>
          <w:tcPr>
            <w:tcW w:w="1140" w:type="dxa"/>
            <w:vAlign w:val="bottom"/>
          </w:tcPr>
          <w:p>
            <w:pPr>
              <w:jc w:val="right"/>
              <w:spacing w:after="0"/>
              <w:rPr>
                <w:sz w:val="20"/>
                <w:szCs w:val="20"/>
                <w:color w:val="auto"/>
              </w:rPr>
            </w:pPr>
            <w:r>
              <w:rPr>
                <w:rFonts w:ascii="Arial" w:cs="Arial" w:eastAsia="Arial" w:hAnsi="Arial"/>
                <w:sz w:val="16"/>
                <w:szCs w:val="16"/>
                <w:color w:val="auto"/>
              </w:rPr>
              <w:t>1,130</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1,154</w:t>
            </w:r>
          </w:p>
        </w:tc>
      </w:tr>
      <w:tr>
        <w:trPr>
          <w:trHeight w:val="19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Additions from internal developments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7,674</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9,065</w:t>
            </w: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color w:val="auto"/>
              </w:rPr>
              <w:t>Derecognition of assets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(162)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(162)</w:t>
            </w:r>
          </w:p>
        </w:tc>
      </w:tr>
      <w:tr>
        <w:trPr>
          <w:trHeight w:val="19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exchange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(576)</w:t>
            </w:r>
          </w:p>
        </w:tc>
      </w:tr>
      <w:tr>
        <w:trPr>
          <w:trHeight w:val="207"/>
        </w:trPr>
        <w:tc>
          <w:tcPr>
            <w:tcW w:w="5980" w:type="dxa"/>
            <w:vAlign w:val="bottom"/>
            <w:gridSpan w:val="2"/>
          </w:tcPr>
          <w:p>
            <w:pPr>
              <w:spacing w:after="0"/>
              <w:rPr>
                <w:sz w:val="20"/>
                <w:szCs w:val="20"/>
                <w:color w:val="auto"/>
              </w:rPr>
            </w:pPr>
            <w:r>
              <w:rPr>
                <w:rFonts w:ascii="Arial" w:cs="Arial" w:eastAsia="Arial" w:hAnsi="Arial"/>
                <w:sz w:val="16"/>
                <w:szCs w:val="16"/>
                <w:color w:val="auto"/>
              </w:rPr>
              <w:t>Reclassifications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1,735</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(1,735)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13,176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17,174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18,272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48,622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1,672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2,427</w:t>
            </w: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color w:val="auto"/>
              </w:rPr>
              <w:t>Additions from internal developments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7,976</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7,976</w:t>
            </w:r>
          </w:p>
        </w:tc>
      </w:tr>
      <w:tr>
        <w:trPr>
          <w:trHeight w:val="19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Derecognition of assets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color w:val="auto"/>
              </w:rPr>
              <w:t>Foreign currency exchange</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(631)</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(1,475)</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(2,986)</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(5,092)</w:t>
            </w:r>
          </w:p>
        </w:tc>
      </w:tr>
      <w:tr>
        <w:trPr>
          <w:trHeight w:val="223"/>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Reclassifications and others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9"/>
        </w:trPr>
        <w:tc>
          <w:tcPr>
            <w:tcW w:w="5980" w:type="dxa"/>
            <w:vAlign w:val="bottom"/>
            <w:tcBorders>
              <w:top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Balance as of December 31, 2021</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14,706</w:t>
            </w: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15,935</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23,285</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53,926</w:t>
            </w:r>
          </w:p>
        </w:tc>
        <w:tc>
          <w:tcPr>
            <w:tcW w:w="120" w:type="dxa"/>
            <w:vAlign w:val="bottom"/>
            <w:tcBorders>
              <w:top w:val="single" w:sz="8" w:color="CCEEFF"/>
            </w:tcBorders>
          </w:tcPr>
          <w:p>
            <w:pPr>
              <w:spacing w:after="0"/>
              <w:rPr>
                <w:sz w:val="15"/>
                <w:szCs w:val="15"/>
                <w:color w:val="auto"/>
              </w:rPr>
            </w:pPr>
          </w:p>
        </w:tc>
      </w:tr>
      <w:tr>
        <w:trPr>
          <w:trHeight w:val="366"/>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Trademarks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Licenses,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and sanitary</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customers and</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Product</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Accumulated amortization</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records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agreements</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development</w:t>
            </w: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191"/>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2020</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2,146</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12,370</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15,940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color w:val="auto"/>
              </w:rPr>
              <w:t>Amortization expense</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1,310</w:t>
            </w:r>
          </w:p>
        </w:tc>
        <w:tc>
          <w:tcPr>
            <w:tcW w:w="1140" w:type="dxa"/>
            <w:vAlign w:val="bottom"/>
          </w:tcPr>
          <w:p>
            <w:pPr>
              <w:jc w:val="right"/>
              <w:spacing w:after="0"/>
              <w:rPr>
                <w:sz w:val="20"/>
                <w:szCs w:val="20"/>
                <w:color w:val="auto"/>
              </w:rPr>
            </w:pPr>
            <w:r>
              <w:rPr>
                <w:rFonts w:ascii="Arial" w:cs="Arial" w:eastAsia="Arial" w:hAnsi="Arial"/>
                <w:sz w:val="16"/>
                <w:szCs w:val="16"/>
                <w:color w:val="auto"/>
              </w:rPr>
              <w:t>1,633</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3,036</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5,979</w:t>
            </w:r>
          </w:p>
        </w:tc>
      </w:tr>
      <w:tr>
        <w:trPr>
          <w:trHeight w:val="223"/>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exchange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(1,235)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(880)</w:t>
            </w:r>
          </w:p>
        </w:tc>
      </w:tr>
      <w:tr>
        <w:trPr>
          <w:trHeight w:val="179"/>
        </w:trPr>
        <w:tc>
          <w:tcPr>
            <w:tcW w:w="5980" w:type="dxa"/>
            <w:vAlign w:val="bottom"/>
            <w:tcBorders>
              <w:top w:val="single" w:sz="8" w:color="CCEEFF"/>
              <w:bottom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Balance as of December 31, 2020</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3,481</w:t>
            </w:r>
          </w:p>
        </w:tc>
        <w:tc>
          <w:tcPr>
            <w:tcW w:w="24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12,768</w:t>
            </w:r>
          </w:p>
        </w:tc>
        <w:tc>
          <w:tcPr>
            <w:tcW w:w="22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4,790</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21,039</w:t>
            </w:r>
          </w:p>
        </w:tc>
        <w:tc>
          <w:tcPr>
            <w:tcW w:w="120" w:type="dxa"/>
            <w:vAlign w:val="bottom"/>
            <w:tcBorders>
              <w:top w:val="single" w:sz="8" w:color="CCEEFF"/>
              <w:bottom w:val="single" w:sz="8" w:color="CCEEFF"/>
            </w:tcBorders>
          </w:tcPr>
          <w:p>
            <w:pPr>
              <w:spacing w:after="0"/>
              <w:rPr>
                <w:sz w:val="15"/>
                <w:szCs w:val="15"/>
                <w:color w:val="auto"/>
              </w:rPr>
            </w:pPr>
          </w:p>
        </w:tc>
      </w:tr>
      <w:tr>
        <w:trPr>
          <w:trHeight w:val="191"/>
        </w:trPr>
        <w:tc>
          <w:tcPr>
            <w:tcW w:w="5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color w:val="auto"/>
              </w:rPr>
              <w:t>Amortization expense</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787</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965</w:t>
            </w:r>
          </w:p>
        </w:tc>
        <w:tc>
          <w:tcPr>
            <w:tcW w:w="1120" w:type="dxa"/>
            <w:vAlign w:val="bottom"/>
          </w:tcPr>
          <w:p>
            <w:pPr>
              <w:jc w:val="right"/>
              <w:spacing w:after="0"/>
              <w:rPr>
                <w:sz w:val="20"/>
                <w:szCs w:val="20"/>
                <w:color w:val="auto"/>
              </w:rPr>
            </w:pPr>
            <w:r>
              <w:rPr>
                <w:rFonts w:ascii="Arial" w:cs="Arial" w:eastAsia="Arial" w:hAnsi="Arial"/>
                <w:sz w:val="16"/>
                <w:szCs w:val="16"/>
                <w:color w:val="auto"/>
              </w:rPr>
              <w:t>3,064</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4,816</w:t>
            </w:r>
          </w:p>
        </w:tc>
      </w:tr>
      <w:tr>
        <w:trPr>
          <w:trHeight w:val="19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Derecognition of assets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color w:val="auto"/>
              </w:rPr>
              <w:t>Foreign currency exchange</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(277)</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(976)</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(840)</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(2,093)</w:t>
            </w:r>
          </w:p>
        </w:tc>
      </w:tr>
      <w:tr>
        <w:trPr>
          <w:trHeight w:val="223"/>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Reclassifications and others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9"/>
        </w:trPr>
        <w:tc>
          <w:tcPr>
            <w:tcW w:w="5980" w:type="dxa"/>
            <w:vAlign w:val="bottom"/>
            <w:tcBorders>
              <w:top w:val="single" w:sz="8" w:color="CCEEFF"/>
              <w:bottom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Balance as of December 31, 2021</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4,232</w:t>
            </w:r>
          </w:p>
        </w:tc>
        <w:tc>
          <w:tcPr>
            <w:tcW w:w="24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12,513</w:t>
            </w:r>
          </w:p>
        </w:tc>
        <w:tc>
          <w:tcPr>
            <w:tcW w:w="22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7,010</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23,755</w:t>
            </w:r>
          </w:p>
        </w:tc>
        <w:tc>
          <w:tcPr>
            <w:tcW w:w="120" w:type="dxa"/>
            <w:vAlign w:val="bottom"/>
            <w:tcBorders>
              <w:top w:val="single" w:sz="8" w:color="CCEEFF"/>
              <w:bottom w:val="single" w:sz="8" w:color="CCEEFF"/>
            </w:tcBorders>
          </w:tcPr>
          <w:p>
            <w:pPr>
              <w:spacing w:after="0"/>
              <w:rPr>
                <w:sz w:val="15"/>
                <w:szCs w:val="15"/>
                <w:color w:val="auto"/>
              </w:rPr>
            </w:pPr>
          </w:p>
        </w:tc>
      </w:tr>
      <w:tr>
        <w:trPr>
          <w:trHeight w:val="191"/>
        </w:trPr>
        <w:tc>
          <w:tcPr>
            <w:tcW w:w="5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 2020</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book value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9,695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4,406</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13,482</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27,583</w:t>
            </w: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 2021</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book value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10,474</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16,275</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30,171</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For the years ended December 31, 2021, 2020 and 2019 amortization expenses are recognized within the Statement of Profit and loss as sales and marketing expenses.</w:t>
      </w:r>
    </w:p>
    <w:p>
      <w:pPr>
        <w:spacing w:after="0" w:line="21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Also, foreign currency exchange corresponds to the effect of translating the intangible asset amounts attributable to the subsidiaries of the Group whose functional currencies are different from that of the Group.</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72" w:name="page173"/>
    <w:bookmarkEnd w:id="172"/>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Note 14. Property, plant and equipment,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Machinery and</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equipment,</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240"/>
              <w:spacing w:after="0"/>
              <w:rPr>
                <w:sz w:val="20"/>
                <w:szCs w:val="20"/>
                <w:color w:val="auto"/>
              </w:rPr>
            </w:pPr>
            <w:r>
              <w:rPr>
                <w:rFonts w:ascii="Arial" w:cs="Arial" w:eastAsia="Arial" w:hAnsi="Arial"/>
                <w:sz w:val="16"/>
                <w:szCs w:val="16"/>
                <w:b w:val="1"/>
                <w:bCs w:val="1"/>
                <w:color w:val="auto"/>
              </w:rPr>
              <w:t>Land and</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furniture and</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Projects in</w:t>
            </w: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6"/>
                <w:szCs w:val="26"/>
                <w:b w:val="1"/>
                <w:bCs w:val="1"/>
                <w:color w:val="auto"/>
                <w:vertAlign w:val="superscript"/>
              </w:rPr>
              <w:t>1</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Cost</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buildings</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fixtures</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progress</w:t>
            </w:r>
          </w:p>
        </w:tc>
        <w:tc>
          <w:tcPr>
            <w:tcW w:w="1340" w:type="dxa"/>
            <w:vAlign w:val="bottom"/>
            <w:gridSpan w:val="2"/>
            <w:vMerge w:val="continue"/>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1"/>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2020</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28,111</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69,511</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8,444</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8,537</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114,603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1,419</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5,118</w:t>
            </w:r>
          </w:p>
        </w:tc>
        <w:tc>
          <w:tcPr>
            <w:tcW w:w="1120" w:type="dxa"/>
            <w:vAlign w:val="bottom"/>
          </w:tcPr>
          <w:p>
            <w:pPr>
              <w:jc w:val="right"/>
              <w:spacing w:after="0"/>
              <w:rPr>
                <w:sz w:val="20"/>
                <w:szCs w:val="20"/>
                <w:color w:val="auto"/>
              </w:rPr>
            </w:pPr>
            <w:r>
              <w:rPr>
                <w:rFonts w:ascii="Arial" w:cs="Arial" w:eastAsia="Arial" w:hAnsi="Arial"/>
                <w:sz w:val="16"/>
                <w:szCs w:val="16"/>
                <w:color w:val="auto"/>
              </w:rPr>
              <w:t>1,130</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7,699</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Disposals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(274)</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Effect of exchange differences in foreign currency</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(1,567)</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(4,159)</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(272)</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(157)</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(6,155)</w:t>
            </w:r>
          </w:p>
        </w:tc>
        <w:tc>
          <w:tcPr>
            <w:tcW w:w="0" w:type="dxa"/>
            <w:vAlign w:val="bottom"/>
          </w:tcPr>
          <w:p>
            <w:pPr>
              <w:spacing w:after="0"/>
              <w:rPr>
                <w:sz w:val="1"/>
                <w:szCs w:val="1"/>
                <w:color w:val="auto"/>
              </w:rPr>
            </w:pPr>
          </w:p>
        </w:tc>
      </w:tr>
      <w:tr>
        <w:trPr>
          <w:trHeight w:val="223"/>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Reclassification between categories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517</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3,420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(3,960)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4620" w:type="dxa"/>
            <w:vAlign w:val="bottom"/>
            <w:tcBorders>
              <w:top w:val="single" w:sz="8" w:color="CCEEFF"/>
              <w:bottom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Balance as of December 31, 2020</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26,819</w:t>
            </w:r>
          </w:p>
        </w:tc>
        <w:tc>
          <w:tcPr>
            <w:tcW w:w="24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69,664</w:t>
            </w:r>
          </w:p>
        </w:tc>
        <w:tc>
          <w:tcPr>
            <w:tcW w:w="24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9,330</w:t>
            </w:r>
          </w:p>
        </w:tc>
        <w:tc>
          <w:tcPr>
            <w:tcW w:w="20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9,478</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115,291</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4,764</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10,019</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Disposals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(289)</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(350)</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 of exchange differences in foreign currency</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(1,180)</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(8,930)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(1,130)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(11,755)</w:t>
            </w:r>
          </w:p>
        </w:tc>
        <w:tc>
          <w:tcPr>
            <w:tcW w:w="0" w:type="dxa"/>
            <w:vAlign w:val="bottom"/>
          </w:tcPr>
          <w:p>
            <w:pPr>
              <w:spacing w:after="0"/>
              <w:rPr>
                <w:sz w:val="1"/>
                <w:szCs w:val="1"/>
                <w:color w:val="auto"/>
              </w:rPr>
            </w:pPr>
          </w:p>
        </w:tc>
      </w:tr>
      <w:tr>
        <w:trPr>
          <w:trHeight w:val="207"/>
        </w:trPr>
        <w:tc>
          <w:tcPr>
            <w:tcW w:w="4620" w:type="dxa"/>
            <w:vAlign w:val="bottom"/>
            <w:gridSpan w:val="2"/>
          </w:tcPr>
          <w:p>
            <w:pPr>
              <w:spacing w:after="0"/>
              <w:rPr>
                <w:sz w:val="20"/>
                <w:szCs w:val="20"/>
                <w:color w:val="auto"/>
              </w:rPr>
            </w:pPr>
            <w:r>
              <w:rPr>
                <w:rFonts w:ascii="Arial" w:cs="Arial" w:eastAsia="Arial" w:hAnsi="Arial"/>
                <w:sz w:val="16"/>
                <w:szCs w:val="16"/>
                <w:color w:val="auto"/>
              </w:rPr>
              <w:t>Reclassifications and others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4,482</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6,518</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(7,578)</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(5,087)</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195"/>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30,319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71,666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10,641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4,028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116,654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Machinery and</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equipment,</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240"/>
              <w:spacing w:after="0"/>
              <w:rPr>
                <w:sz w:val="20"/>
                <w:szCs w:val="20"/>
                <w:color w:val="auto"/>
              </w:rPr>
            </w:pPr>
            <w:r>
              <w:rPr>
                <w:rFonts w:ascii="Arial" w:cs="Arial" w:eastAsia="Arial" w:hAnsi="Arial"/>
                <w:sz w:val="16"/>
                <w:szCs w:val="16"/>
                <w:b w:val="1"/>
                <w:bCs w:val="1"/>
                <w:color w:val="auto"/>
              </w:rPr>
              <w:t>Land and</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furniture and</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Projects in</w:t>
            </w: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6"/>
                <w:szCs w:val="26"/>
                <w:b w:val="1"/>
                <w:bCs w:val="1"/>
                <w:color w:val="auto"/>
                <w:vertAlign w:val="superscript"/>
              </w:rPr>
              <w:t>1</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Accumulated depreciation</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buildings</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fixtures</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progress</w:t>
            </w:r>
          </w:p>
        </w:tc>
        <w:tc>
          <w:tcPr>
            <w:tcW w:w="1340" w:type="dxa"/>
            <w:vAlign w:val="bottom"/>
            <w:gridSpan w:val="2"/>
            <w:vMerge w:val="continue"/>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1"/>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2020</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7,323</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29,011</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39,688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Disposals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(82)</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(7)</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expense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861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4,061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5,900</w:t>
            </w:r>
          </w:p>
        </w:tc>
        <w:tc>
          <w:tcPr>
            <w:tcW w:w="0" w:type="dxa"/>
            <w:vAlign w:val="bottom"/>
          </w:tcPr>
          <w:p>
            <w:pPr>
              <w:spacing w:after="0"/>
              <w:rPr>
                <w:sz w:val="1"/>
                <w:szCs w:val="1"/>
                <w:color w:val="auto"/>
              </w:rPr>
            </w:pPr>
          </w:p>
        </w:tc>
      </w:tr>
      <w:tr>
        <w:trPr>
          <w:trHeight w:val="207"/>
        </w:trPr>
        <w:tc>
          <w:tcPr>
            <w:tcW w:w="4620" w:type="dxa"/>
            <w:vAlign w:val="bottom"/>
            <w:gridSpan w:val="2"/>
          </w:tcPr>
          <w:p>
            <w:pPr>
              <w:spacing w:after="0"/>
              <w:rPr>
                <w:sz w:val="20"/>
                <w:szCs w:val="20"/>
                <w:color w:val="auto"/>
              </w:rPr>
            </w:pPr>
            <w:r>
              <w:rPr>
                <w:rFonts w:ascii="Arial" w:cs="Arial" w:eastAsia="Arial" w:hAnsi="Arial"/>
                <w:sz w:val="16"/>
                <w:szCs w:val="16"/>
                <w:color w:val="auto"/>
              </w:rPr>
              <w:t>Effect of exchange differences in foreign currency</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(113)</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(366)</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(64)</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191"/>
        </w:trPr>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8,071</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32,624</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4,261</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44,956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Disposals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(70)</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(91)</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expense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871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4,653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6,072</w:t>
            </w: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Effect of exchange differences in foreign currency</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(328)</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(3,743)</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(472)</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(4,543)</w:t>
            </w:r>
          </w:p>
        </w:tc>
        <w:tc>
          <w:tcPr>
            <w:tcW w:w="0" w:type="dxa"/>
            <w:vAlign w:val="bottom"/>
          </w:tcPr>
          <w:p>
            <w:pPr>
              <w:spacing w:after="0"/>
              <w:rPr>
                <w:sz w:val="1"/>
                <w:szCs w:val="1"/>
                <w:color w:val="auto"/>
              </w:rPr>
            </w:pPr>
          </w:p>
        </w:tc>
      </w:tr>
      <w:tr>
        <w:trPr>
          <w:trHeight w:val="223"/>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Reclassifications and others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(907)</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(587)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(2,292)</w:t>
            </w:r>
          </w:p>
        </w:tc>
        <w:tc>
          <w:tcPr>
            <w:tcW w:w="0" w:type="dxa"/>
            <w:vAlign w:val="bottom"/>
          </w:tcPr>
          <w:p>
            <w:pPr>
              <w:spacing w:after="0"/>
              <w:rPr>
                <w:sz w:val="1"/>
                <w:szCs w:val="1"/>
                <w:color w:val="auto"/>
              </w:rPr>
            </w:pPr>
          </w:p>
        </w:tc>
      </w:tr>
      <w:tr>
        <w:trPr>
          <w:trHeight w:val="179"/>
        </w:trPr>
        <w:tc>
          <w:tcPr>
            <w:tcW w:w="4620" w:type="dxa"/>
            <w:vAlign w:val="bottom"/>
            <w:tcBorders>
              <w:top w:val="single" w:sz="8" w:color="CCEEFF"/>
              <w:bottom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Balance as of December 31, 2021</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7,637</w:t>
            </w:r>
          </w:p>
        </w:tc>
        <w:tc>
          <w:tcPr>
            <w:tcW w:w="24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32,856</w:t>
            </w:r>
          </w:p>
        </w:tc>
        <w:tc>
          <w:tcPr>
            <w:tcW w:w="24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3,523</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44,016</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 2020</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book value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18,748</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37,040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9,330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5,217</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70,335</w:t>
            </w: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 2021</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book value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22,682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38,810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10,641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505</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72,638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9070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88" w:lineRule="exact"/>
        <w:rPr>
          <w:sz w:val="20"/>
          <w:szCs w:val="20"/>
          <w:color w:val="auto"/>
        </w:rPr>
      </w:pPr>
    </w:p>
    <w:p>
      <w:pPr>
        <w:ind w:left="284" w:hanging="284"/>
        <w:spacing w:after="0"/>
        <w:tabs>
          <w:tab w:leader="none" w:pos="284" w:val="left"/>
        </w:tabs>
        <w:numPr>
          <w:ilvl w:val="0"/>
          <w:numId w:val="91"/>
        </w:numPr>
        <w:rPr>
          <w:rFonts w:ascii="Arial" w:cs="Arial" w:eastAsia="Arial" w:hAnsi="Arial"/>
          <w:sz w:val="27"/>
          <w:szCs w:val="27"/>
          <w:color w:val="auto"/>
          <w:vertAlign w:val="superscript"/>
        </w:rPr>
      </w:pPr>
      <w:r>
        <w:rPr>
          <w:rFonts w:ascii="Arial" w:cs="Arial" w:eastAsia="Arial" w:hAnsi="Arial"/>
          <w:sz w:val="16"/>
          <w:szCs w:val="16"/>
          <w:color w:val="auto"/>
        </w:rPr>
        <w:t>Other’ includes computer equipment and other office furniture and equipment.</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5"/>
          <w:szCs w:val="15"/>
          <w:color w:val="auto"/>
        </w:rPr>
        <w:t>As of December 31, 2021, depreciation expense was recognized as follows: $4,382 within cost of goods sold (2020: $3,661), for manufacturing costs, and $1,690 (2020:</w:t>
      </w: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auto"/>
        </w:rPr>
        <w:t>$2,239) within administrative expense.</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Group pledged $83,432 (2020: $125,058) of freehold land and buildings for collateral for its financial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Commitments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of year-end 2021, the Group has commitments to acquire capital expenditures for $3,585 (2020: $4,832).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 Acquisition of a Pharmaceutical Production Facility</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November 5, 2021, Procaps Group entered into an asset purchase agreement to acquire an 86,000 sq. ft. pharmaceutical production facility. The purchase price allocated to property, plant and equipment based on the estimated fair value of the assets acquired at the date of acquisition was $1,487. On the Closing Date, December 31, 2021, Procaps paid the amount corresponding to the 50% of the Purchase Price and the remaining 50% will be paid at December 31, 2023. Please refer to Note 26.2. Asset acquisition - Pharmaceutical production facility.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Leases</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 has leases of office and warehouse buildings, land, vehicles, machinery and computer hardware. Rental contracts are for fixed terms varying between one and seven years.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leases for which the Group is a lessee is presented below.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gridSpan w:val="2"/>
          </w:tcPr>
          <w:p>
            <w:pPr>
              <w:spacing w:after="0"/>
              <w:rPr>
                <w:sz w:val="20"/>
                <w:szCs w:val="20"/>
                <w:color w:val="auto"/>
              </w:rPr>
            </w:pPr>
            <w:r>
              <w:rPr>
                <w:rFonts w:ascii="Arial" w:cs="Arial" w:eastAsia="Arial" w:hAnsi="Arial"/>
                <w:sz w:val="16"/>
                <w:szCs w:val="16"/>
                <w:i w:val="1"/>
                <w:iCs w:val="1"/>
                <w:color w:val="auto"/>
              </w:rPr>
              <w:t>Right-of-use assets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8"/>
        </w:trPr>
        <w:tc>
          <w:tcPr>
            <w:tcW w:w="4620" w:type="dxa"/>
            <w:vAlign w:val="bottom"/>
            <w:gridSpan w:val="2"/>
          </w:tcPr>
          <w:p>
            <w:pPr>
              <w:spacing w:after="0"/>
              <w:rPr>
                <w:sz w:val="20"/>
                <w:szCs w:val="20"/>
                <w:color w:val="auto"/>
              </w:rPr>
            </w:pPr>
            <w:r>
              <w:rPr>
                <w:rFonts w:ascii="Arial" w:cs="Arial" w:eastAsia="Arial" w:hAnsi="Arial"/>
                <w:sz w:val="16"/>
                <w:szCs w:val="16"/>
                <w:i w:val="1"/>
                <w:iCs w:val="1"/>
                <w:color w:val="auto"/>
              </w:rPr>
              <w:t>Reconciliation of asset balances: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6"/>
        </w:trPr>
        <w:tc>
          <w:tcPr>
            <w:tcW w:w="1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Equipment</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12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Land and</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and</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12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Buildings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Machinery</w:t>
            </w:r>
          </w:p>
        </w:tc>
        <w:tc>
          <w:tcPr>
            <w:tcW w:w="13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Vehicles</w:t>
            </w:r>
          </w:p>
        </w:tc>
        <w:tc>
          <w:tcPr>
            <w:tcW w:w="13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Computers</w:t>
            </w: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191"/>
        </w:trPr>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30,874</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6,609</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38,296</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Addition to right-of-use asset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8,543</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1,415</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1120" w:type="dxa"/>
            <w:vAlign w:val="bottom"/>
          </w:tcPr>
          <w:p>
            <w:pPr>
              <w:jc w:val="right"/>
              <w:spacing w:after="0"/>
              <w:rPr>
                <w:sz w:val="20"/>
                <w:szCs w:val="20"/>
                <w:color w:val="auto"/>
              </w:rPr>
            </w:pPr>
            <w:r>
              <w:rPr>
                <w:rFonts w:ascii="Arial" w:cs="Arial" w:eastAsia="Arial" w:hAnsi="Arial"/>
                <w:sz w:val="16"/>
                <w:szCs w:val="16"/>
                <w:color w:val="auto"/>
              </w:rPr>
              <w:t>1,076</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11,022</w:t>
            </w:r>
          </w:p>
        </w:tc>
        <w:tc>
          <w:tcPr>
            <w:tcW w:w="120" w:type="dxa"/>
            <w:vAlign w:val="bottom"/>
          </w:tcPr>
          <w:p>
            <w:pPr>
              <w:spacing w:after="0"/>
              <w:rPr>
                <w:sz w:val="16"/>
                <w:szCs w:val="16"/>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(3,345)</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(744)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(4,598)</w:t>
            </w:r>
          </w:p>
        </w:tc>
      </w:tr>
      <w:tr>
        <w:trPr>
          <w:trHeight w:val="207"/>
        </w:trPr>
        <w:tc>
          <w:tcPr>
            <w:tcW w:w="4620" w:type="dxa"/>
            <w:vAlign w:val="bottom"/>
            <w:gridSpan w:val="2"/>
          </w:tcPr>
          <w:p>
            <w:pPr>
              <w:spacing w:after="0"/>
              <w:rPr>
                <w:sz w:val="20"/>
                <w:szCs w:val="20"/>
                <w:color w:val="auto"/>
              </w:rPr>
            </w:pPr>
            <w:r>
              <w:rPr>
                <w:rFonts w:ascii="Arial" w:cs="Arial" w:eastAsia="Arial" w:hAnsi="Arial"/>
                <w:sz w:val="16"/>
                <w:szCs w:val="16"/>
                <w:color w:val="auto"/>
              </w:rPr>
              <w:t>Effect of changes in foreign exchange rates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(1,186)</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(305)</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(33)</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(1,525)</w:t>
            </w:r>
          </w:p>
        </w:tc>
      </w:tr>
      <w:tr>
        <w:trPr>
          <w:trHeight w:val="211"/>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34,886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6,975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43,195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4620" w:type="dxa"/>
            <w:vAlign w:val="bottom"/>
            <w:gridSpan w:val="2"/>
          </w:tcPr>
          <w:p>
            <w:pPr>
              <w:spacing w:after="0" w:line="175" w:lineRule="exact"/>
              <w:rPr>
                <w:sz w:val="20"/>
                <w:szCs w:val="20"/>
                <w:color w:val="auto"/>
              </w:rPr>
            </w:pPr>
            <w:r>
              <w:rPr>
                <w:rFonts w:ascii="Arial" w:cs="Arial" w:eastAsia="Arial" w:hAnsi="Arial"/>
                <w:sz w:val="16"/>
                <w:szCs w:val="16"/>
                <w:color w:val="auto"/>
              </w:rPr>
              <w:t>Addition to right-of-use asset</w:t>
            </w: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6,573</w:t>
            </w:r>
          </w:p>
        </w:tc>
        <w:tc>
          <w:tcPr>
            <w:tcW w:w="2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709</w:t>
            </w:r>
          </w:p>
        </w:tc>
        <w:tc>
          <w:tcPr>
            <w:tcW w:w="24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7,282</w:t>
            </w:r>
          </w:p>
        </w:tc>
        <w:tc>
          <w:tcPr>
            <w:tcW w:w="120" w:type="dxa"/>
            <w:vAlign w:val="bottom"/>
          </w:tcPr>
          <w:p>
            <w:pPr>
              <w:spacing w:after="0"/>
              <w:rPr>
                <w:sz w:val="15"/>
                <w:szCs w:val="15"/>
                <w:color w:val="auto"/>
              </w:rPr>
            </w:pPr>
          </w:p>
        </w:tc>
      </w:tr>
      <w:tr>
        <w:trPr>
          <w:trHeight w:val="223"/>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(3,311)</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(449)</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(4,223)</w:t>
            </w:r>
          </w:p>
        </w:tc>
      </w:tr>
      <w:tr>
        <w:trPr>
          <w:trHeight w:val="175"/>
        </w:trPr>
        <w:tc>
          <w:tcPr>
            <w:tcW w:w="4620" w:type="dxa"/>
            <w:vAlign w:val="bottom"/>
            <w:tcBorders>
              <w:top w:val="single" w:sz="8" w:color="CCEEFF"/>
            </w:tcBorders>
            <w:gridSpan w:val="2"/>
          </w:tcPr>
          <w:p>
            <w:pPr>
              <w:spacing w:after="0" w:line="175" w:lineRule="exact"/>
              <w:rPr>
                <w:sz w:val="20"/>
                <w:szCs w:val="20"/>
                <w:color w:val="auto"/>
              </w:rPr>
            </w:pPr>
            <w:r>
              <w:rPr>
                <w:rFonts w:ascii="Arial" w:cs="Arial" w:eastAsia="Arial" w:hAnsi="Arial"/>
                <w:sz w:val="16"/>
                <w:szCs w:val="16"/>
                <w:color w:val="auto"/>
              </w:rPr>
              <w:t>Derecognition of contracts</w:t>
            </w:r>
          </w:p>
        </w:tc>
        <w:tc>
          <w:tcPr>
            <w:tcW w:w="11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(126)</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(58)</w:t>
            </w: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(86)</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(270)</w:t>
            </w:r>
          </w:p>
        </w:tc>
        <w:tc>
          <w:tcPr>
            <w:tcW w:w="120" w:type="dxa"/>
            <w:vAlign w:val="bottom"/>
            <w:tcBorders>
              <w:top w:val="single" w:sz="8" w:color="CCEEFF"/>
            </w:tcBorders>
          </w:tcPr>
          <w:p>
            <w:pPr>
              <w:spacing w:after="0"/>
              <w:rPr>
                <w:sz w:val="15"/>
                <w:szCs w:val="15"/>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Reclassifications and others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559</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(1,155)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(628)</w:t>
            </w:r>
          </w:p>
        </w:tc>
      </w:tr>
      <w:tr>
        <w:trPr>
          <w:trHeight w:val="207"/>
        </w:trPr>
        <w:tc>
          <w:tcPr>
            <w:tcW w:w="4620" w:type="dxa"/>
            <w:vAlign w:val="bottom"/>
            <w:gridSpan w:val="2"/>
          </w:tcPr>
          <w:p>
            <w:pPr>
              <w:spacing w:after="0"/>
              <w:rPr>
                <w:sz w:val="20"/>
                <w:szCs w:val="20"/>
                <w:color w:val="auto"/>
              </w:rPr>
            </w:pPr>
            <w:r>
              <w:rPr>
                <w:rFonts w:ascii="Arial" w:cs="Arial" w:eastAsia="Arial" w:hAnsi="Arial"/>
                <w:sz w:val="16"/>
                <w:szCs w:val="16"/>
                <w:color w:val="auto"/>
              </w:rPr>
              <w:t>Effect of changes in foreign exchange rates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(4,188)</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(932)</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(69)</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(5,189)</w:t>
            </w:r>
          </w:p>
        </w:tc>
      </w:tr>
      <w:tr>
        <w:trPr>
          <w:trHeight w:val="195"/>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34,393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5,076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40,167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December 31, 2021, depreciation expense was recognized as follows: $3,633 (2020: $3,784) within administrative costs and $590 (2020: $814) within cost of goods sold, related to plant leases.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Due to the pharmaceutical production facility that was purchased from Strides Pharma, Inc., a U.S. subsidiary of the Indian-based pharmaceutical corporation, the Strides Group, the Group assumed some rights of use that were part of the acquisition transaction for an amount of $4,533.</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Group’s lease liabilities are guaranteed by the lessor’s title to the leased assets. As of December 31, 2021 and 2020, the Group maintains the following opened balances: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20" w:type="dxa"/>
            <w:vAlign w:val="bottom"/>
            <w:tcBorders>
              <w:bottom w:val="single" w:sz="8" w:color="CCEEFF"/>
            </w:tcBorders>
          </w:tcPr>
          <w:p>
            <w:pPr>
              <w:spacing w:after="0"/>
              <w:rPr>
                <w:sz w:val="18"/>
                <w:szCs w:val="18"/>
                <w:color w:val="auto"/>
              </w:rPr>
            </w:pPr>
          </w:p>
        </w:tc>
        <w:tc>
          <w:tcPr>
            <w:tcW w:w="39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r>
      <w:tr>
        <w:trPr>
          <w:trHeight w:val="191"/>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Non-current</w:t>
            </w:r>
          </w:p>
        </w:tc>
        <w:tc>
          <w:tcPr>
            <w:tcW w:w="3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26,537</w:t>
            </w:r>
          </w:p>
        </w:tc>
        <w:tc>
          <w:tcPr>
            <w:tcW w:w="120" w:type="dxa"/>
            <w:vAlign w:val="bottom"/>
            <w:shd w:val="clear" w:color="auto" w:fill="CCEEFF"/>
          </w:tcPr>
          <w:p>
            <w:pPr>
              <w:spacing w:after="0"/>
              <w:rPr>
                <w:sz w:val="16"/>
                <w:szCs w:val="16"/>
                <w:color w:val="auto"/>
              </w:rPr>
            </w:pPr>
          </w:p>
        </w:tc>
      </w:tr>
      <w:tr>
        <w:trPr>
          <w:trHeight w:val="207"/>
        </w:trPr>
        <w:tc>
          <w:tcPr>
            <w:tcW w:w="4720" w:type="dxa"/>
            <w:vAlign w:val="bottom"/>
          </w:tcPr>
          <w:p>
            <w:pPr>
              <w:spacing w:after="0"/>
              <w:rPr>
                <w:sz w:val="20"/>
                <w:szCs w:val="20"/>
                <w:color w:val="auto"/>
              </w:rPr>
            </w:pPr>
            <w:r>
              <w:rPr>
                <w:rFonts w:ascii="Arial" w:cs="Arial" w:eastAsia="Arial" w:hAnsi="Arial"/>
                <w:sz w:val="16"/>
                <w:szCs w:val="16"/>
                <w:color w:val="auto"/>
              </w:rPr>
              <w:t>Current</w:t>
            </w:r>
          </w:p>
        </w:tc>
        <w:tc>
          <w:tcPr>
            <w:tcW w:w="420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9,853</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10,262</w:t>
            </w:r>
          </w:p>
        </w:tc>
      </w:tr>
      <w:tr>
        <w:trPr>
          <w:trHeight w:val="195"/>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9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31,747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36,799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remaining contractual maturity and repayment periods of the Group’s leases liabilities are exhibited in Note 27. Financial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Carrying amounts of lease liabilities are included in Borrowings’ balance, refer to Note 19. Borrowings.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Due to the pharmaceutical production facility that was purchased from Strides Pharma, Inc., a U.S. subsidiary of the Indian-based pharmaceutical corporation, the Strides Group, the Group assumed all obligations and liabilities undertaken as sublessee under the Sublease Agreement, that is part of the acquisition transaction with a pending balance of $4,533.</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Amounts recognized in the Consolidated Statement of Profit or Loss</w:t>
      </w:r>
    </w:p>
    <w:p>
      <w:pPr>
        <w:spacing w:after="0" w:line="194"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For the year ended</w:t>
      </w:r>
    </w:p>
    <w:p>
      <w:pPr>
        <w:spacing w:after="0" w:line="24"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Interest on lease liabilities</w:t>
            </w: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CEEFF"/>
          </w:tcPr>
          <w:p>
            <w:pPr>
              <w:spacing w:after="0"/>
              <w:rPr>
                <w:sz w:val="16"/>
                <w:szCs w:val="16"/>
                <w:color w:val="auto"/>
              </w:rPr>
            </w:pPr>
          </w:p>
        </w:tc>
      </w:tr>
      <w:tr>
        <w:trPr>
          <w:trHeight w:val="191"/>
        </w:trPr>
        <w:tc>
          <w:tcPr>
            <w:tcW w:w="9420" w:type="dxa"/>
            <w:vAlign w:val="bottom"/>
            <w:gridSpan w:val="2"/>
          </w:tcPr>
          <w:p>
            <w:pPr>
              <w:spacing w:after="0"/>
              <w:rPr>
                <w:sz w:val="20"/>
                <w:szCs w:val="20"/>
                <w:color w:val="auto"/>
              </w:rPr>
            </w:pPr>
            <w:r>
              <w:rPr>
                <w:rFonts w:ascii="Arial" w:cs="Arial" w:eastAsia="Arial" w:hAnsi="Arial"/>
                <w:sz w:val="16"/>
                <w:szCs w:val="16"/>
                <w:color w:val="auto"/>
              </w:rPr>
              <w:t>Expense relating to low value assets</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123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668</w:t>
            </w:r>
          </w:p>
        </w:tc>
      </w:tr>
      <w:tr>
        <w:trPr>
          <w:trHeight w:val="191"/>
        </w:trPr>
        <w:tc>
          <w:tcPr>
            <w:tcW w:w="9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 relating to short term leases</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1,217</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828</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Amounts recognized in Consolidated Statements of Cash Flows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total cash outflow for leases amounts to $8,854 (2020: $5,733). The principal amount of the lease liabilities and estimated interest payments contractual maturity and repayment periods are included in Note 27. Financial instruments.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Investment in joint ventures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Place of</w:t>
            </w: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incorporation and</w:t>
            </w: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principal place of</w:t>
            </w:r>
          </w:p>
        </w:tc>
        <w:tc>
          <w:tcPr>
            <w:tcW w:w="4440" w:type="dxa"/>
            <w:vAlign w:val="bottom"/>
            <w:gridSpan w:val="4"/>
          </w:tcPr>
          <w:p>
            <w:pPr>
              <w:ind w:left="860"/>
              <w:spacing w:after="0"/>
              <w:rPr>
                <w:sz w:val="20"/>
                <w:szCs w:val="20"/>
                <w:color w:val="auto"/>
              </w:rPr>
            </w:pPr>
            <w:r>
              <w:rPr>
                <w:rFonts w:ascii="Arial" w:cs="Arial" w:eastAsia="Arial" w:hAnsi="Arial"/>
                <w:sz w:val="16"/>
                <w:szCs w:val="16"/>
                <w:b w:val="1"/>
                <w:bCs w:val="1"/>
                <w:color w:val="auto"/>
              </w:rPr>
              <w:t>Proportion of ownership interest and</w:t>
            </w:r>
          </w:p>
        </w:tc>
      </w:tr>
      <w:tr>
        <w:trPr>
          <w:trHeight w:val="212"/>
        </w:trPr>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Name of joint venture</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Principal activity</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business</w:t>
            </w:r>
          </w:p>
        </w:tc>
        <w:tc>
          <w:tcPr>
            <w:tcW w:w="4440" w:type="dxa"/>
            <w:vAlign w:val="bottom"/>
            <w:gridSpan w:val="4"/>
          </w:tcPr>
          <w:p>
            <w:pPr>
              <w:ind w:left="960"/>
              <w:spacing w:after="0"/>
              <w:rPr>
                <w:sz w:val="20"/>
                <w:szCs w:val="20"/>
                <w:color w:val="auto"/>
              </w:rPr>
            </w:pPr>
            <w:r>
              <w:rPr>
                <w:rFonts w:ascii="Arial" w:cs="Arial" w:eastAsia="Arial" w:hAnsi="Arial"/>
                <w:sz w:val="16"/>
                <w:szCs w:val="16"/>
                <w:b w:val="1"/>
                <w:bCs w:val="1"/>
                <w:color w:val="auto"/>
              </w:rPr>
              <w:t>voting rights held by the Company</w:t>
            </w:r>
          </w:p>
        </w:tc>
      </w:tr>
      <w:tr>
        <w:trPr>
          <w:trHeight w:val="175"/>
        </w:trPr>
        <w:tc>
          <w:tcPr>
            <w:tcW w:w="2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Borders>
              <w:top w:val="single" w:sz="8" w:color="auto"/>
            </w:tcBorders>
            <w:gridSpan w:val="2"/>
          </w:tcPr>
          <w:p>
            <w:pPr>
              <w:ind w:left="340"/>
              <w:spacing w:after="0" w:line="175" w:lineRule="exact"/>
              <w:rPr>
                <w:sz w:val="20"/>
                <w:szCs w:val="20"/>
                <w:color w:val="auto"/>
              </w:rPr>
            </w:pPr>
            <w:r>
              <w:rPr>
                <w:rFonts w:ascii="Arial" w:cs="Arial" w:eastAsia="Arial" w:hAnsi="Arial"/>
                <w:sz w:val="16"/>
                <w:szCs w:val="16"/>
                <w:b w:val="1"/>
                <w:bCs w:val="1"/>
                <w:color w:val="auto"/>
              </w:rPr>
              <w:t>As of December 31,</w:t>
            </w:r>
          </w:p>
        </w:tc>
        <w:tc>
          <w:tcPr>
            <w:tcW w:w="202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8"/>
              </w:rPr>
              <w:t>As of December 31,</w:t>
            </w:r>
          </w:p>
        </w:tc>
        <w:tc>
          <w:tcPr>
            <w:tcW w:w="160" w:type="dxa"/>
            <w:vAlign w:val="bottom"/>
          </w:tcPr>
          <w:p>
            <w:pPr>
              <w:spacing w:after="0"/>
              <w:rPr>
                <w:sz w:val="15"/>
                <w:szCs w:val="15"/>
                <w:color w:val="auto"/>
              </w:rPr>
            </w:pPr>
          </w:p>
        </w:tc>
      </w:tr>
      <w:tr>
        <w:trPr>
          <w:trHeight w:val="212"/>
        </w:trPr>
        <w:tc>
          <w:tcPr>
            <w:tcW w:w="2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ind w:left="8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r>
      <w:tr>
        <w:trPr>
          <w:trHeight w:val="191"/>
        </w:trPr>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Promedical S.A.</w:t>
            </w:r>
          </w:p>
        </w:tc>
        <w:tc>
          <w:tcPr>
            <w:tcW w:w="224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Marketing and pharmaceuticals</w:t>
            </w:r>
          </w:p>
        </w:tc>
        <w:tc>
          <w:tcPr>
            <w:tcW w:w="22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0"/>
              </w:rPr>
              <w:t>Santa Cruz de la Sierra, Bolivia</w:t>
            </w:r>
          </w:p>
        </w:tc>
        <w:tc>
          <w:tcPr>
            <w:tcW w:w="2260" w:type="dxa"/>
            <w:vAlign w:val="bottom"/>
            <w:gridSpan w:val="2"/>
            <w:shd w:val="clear" w:color="auto" w:fill="CCEEFF"/>
          </w:tcPr>
          <w:p>
            <w:pPr>
              <w:ind w:left="1860"/>
              <w:spacing w:after="0"/>
              <w:rPr>
                <w:sz w:val="20"/>
                <w:szCs w:val="20"/>
                <w:color w:val="auto"/>
              </w:rPr>
            </w:pPr>
            <w:r>
              <w:rPr>
                <w:rFonts w:ascii="Arial" w:cs="Arial" w:eastAsia="Arial" w:hAnsi="Arial"/>
                <w:sz w:val="16"/>
                <w:szCs w:val="16"/>
                <w:color w:val="auto"/>
              </w:rPr>
              <w:t>50%</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r>
    </w:tbl>
    <w:p>
      <w:pPr>
        <w:spacing w:after="0" w:line="17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Promedical S.A. is accounted for using the equity method in these consolidated financial statements. Pursuant to a shareholder agreement, the Company has the right to cast 50% of the votes at shareholder meetings of Promedical S.A.</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financial year end dates of Promedical S.A. are December 31, 2019, December 31, 2020 and December 31, 2021. For the purposes of applying the equity method of accounting, the financial statements of Promedical S.A. for the years ended December 31, 2021, 2020 and 2019 have been used.</w:t>
      </w:r>
    </w:p>
    <w:p>
      <w:pPr>
        <w:spacing w:after="0" w:line="15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The other summary information that precedes the reconciliation to the Company’s carrying amount represents amounts included in the IFRS financial statements of the joint venture, not the entity’s share of these amounts, although they are adjusted to reflect fair value adjustments upon acquisition or accounting policy alignments.</w:t>
      </w:r>
    </w:p>
    <w:p>
      <w:pPr>
        <w:spacing w:after="0" w:line="12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Summarized financial information of Promedical S.A is set out below. The summarized financial information below represents amounts in the Promedical S.A’s financial statements prepared in accordance with IFRS Standards, adjusted by the Company for equity accounting purposes.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8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As of</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As of</w:t>
            </w:r>
          </w:p>
        </w:tc>
      </w:tr>
      <w:tr>
        <w:trPr>
          <w:trHeight w:val="191"/>
        </w:trPr>
        <w:tc>
          <w:tcPr>
            <w:tcW w:w="868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31,</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r>
      <w:tr>
        <w:trPr>
          <w:trHeight w:val="212"/>
        </w:trPr>
        <w:tc>
          <w:tcPr>
            <w:tcW w:w="86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Borders>
              <w:bottom w:val="single" w:sz="8" w:color="CCEEFF"/>
            </w:tcBorders>
          </w:tcPr>
          <w:p>
            <w:pPr>
              <w:spacing w:after="0"/>
              <w:rPr>
                <w:sz w:val="18"/>
                <w:szCs w:val="18"/>
                <w:color w:val="auto"/>
              </w:rPr>
            </w:pP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10,324</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11,672</w:t>
            </w:r>
          </w:p>
        </w:tc>
        <w:tc>
          <w:tcPr>
            <w:tcW w:w="120" w:type="dxa"/>
            <w:vAlign w:val="bottom"/>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Arial" w:cs="Arial" w:eastAsia="Arial" w:hAnsi="Arial"/>
                <w:sz w:val="16"/>
                <w:szCs w:val="16"/>
                <w:color w:val="auto"/>
              </w:rPr>
              <w:t>Non-current assets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3,136</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2,551</w:t>
            </w: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6,231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5,899</w:t>
            </w:r>
          </w:p>
        </w:tc>
      </w:tr>
      <w:tr>
        <w:trPr>
          <w:trHeight w:val="191"/>
        </w:trPr>
        <w:tc>
          <w:tcPr>
            <w:tcW w:w="8680" w:type="dxa"/>
            <w:vAlign w:val="bottom"/>
          </w:tcPr>
          <w:p>
            <w:pPr>
              <w:spacing w:after="0"/>
              <w:rPr>
                <w:sz w:val="20"/>
                <w:szCs w:val="20"/>
                <w:color w:val="auto"/>
              </w:rPr>
            </w:pPr>
            <w:r>
              <w:rPr>
                <w:rFonts w:ascii="Arial" w:cs="Arial" w:eastAsia="Arial" w:hAnsi="Arial"/>
                <w:sz w:val="16"/>
                <w:szCs w:val="16"/>
                <w:color w:val="auto"/>
              </w:rPr>
              <w:t>Non-current liabilities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795</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1,890</w:t>
            </w: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Equity</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6,434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6,434</w:t>
            </w:r>
          </w:p>
        </w:tc>
      </w:tr>
      <w:tr>
        <w:trPr>
          <w:trHeight w:val="191"/>
        </w:trPr>
        <w:tc>
          <w:tcPr>
            <w:tcW w:w="8680" w:type="dxa"/>
            <w:vAlign w:val="bottom"/>
          </w:tcPr>
          <w:p>
            <w:pPr>
              <w:spacing w:after="0"/>
              <w:rPr>
                <w:sz w:val="20"/>
                <w:szCs w:val="20"/>
                <w:color w:val="auto"/>
              </w:rPr>
            </w:pPr>
            <w:r>
              <w:rPr>
                <w:rFonts w:ascii="Arial" w:cs="Arial" w:eastAsia="Arial" w:hAnsi="Arial"/>
                <w:sz w:val="16"/>
                <w:szCs w:val="16"/>
                <w:color w:val="auto"/>
              </w:rPr>
              <w:t>Revenue</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23,704</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19,428</w:t>
            </w: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Profit/(loss) for the year</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1,423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1,612</w:t>
            </w:r>
          </w:p>
        </w:tc>
      </w:tr>
      <w:tr>
        <w:trPr>
          <w:trHeight w:val="204"/>
        </w:trPr>
        <w:tc>
          <w:tcPr>
            <w:tcW w:w="868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1,423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1,612</w:t>
            </w: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As of</w:t>
            </w:r>
          </w:p>
        </w:tc>
        <w:tc>
          <w:tcPr>
            <w:tcW w:w="8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As of</w:t>
            </w:r>
          </w:p>
        </w:tc>
      </w:tr>
      <w:tr>
        <w:trPr>
          <w:trHeight w:val="191"/>
        </w:trPr>
        <w:tc>
          <w:tcPr>
            <w:tcW w:w="6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31,</w:t>
            </w:r>
          </w:p>
        </w:tc>
        <w:tc>
          <w:tcPr>
            <w:tcW w:w="8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r>
      <w:tr>
        <w:trPr>
          <w:trHeight w:val="212"/>
        </w:trPr>
        <w:tc>
          <w:tcPr>
            <w:tcW w:w="650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Borders>
              <w:bottom w:val="single" w:sz="8" w:color="CCEEFF"/>
            </w:tcBorders>
          </w:tcPr>
          <w:p>
            <w:pPr>
              <w:spacing w:after="0"/>
              <w:rPr>
                <w:sz w:val="18"/>
                <w:szCs w:val="18"/>
                <w:color w:val="auto"/>
              </w:rPr>
            </w:pPr>
          </w:p>
        </w:tc>
      </w:tr>
      <w:tr>
        <w:trPr>
          <w:trHeight w:val="191"/>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Net assets of Promedical S.A.</w:t>
            </w:r>
          </w:p>
        </w:tc>
        <w:tc>
          <w:tcPr>
            <w:tcW w:w="2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6,434</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6,434</w:t>
            </w:r>
          </w:p>
        </w:tc>
        <w:tc>
          <w:tcPr>
            <w:tcW w:w="120" w:type="dxa"/>
            <w:vAlign w:val="bottom"/>
            <w:shd w:val="clear" w:color="auto" w:fill="CCEEFF"/>
          </w:tcPr>
          <w:p>
            <w:pPr>
              <w:spacing w:after="0"/>
              <w:rPr>
                <w:sz w:val="16"/>
                <w:szCs w:val="16"/>
                <w:color w:val="auto"/>
              </w:rPr>
            </w:pPr>
          </w:p>
        </w:tc>
      </w:tr>
      <w:tr>
        <w:trPr>
          <w:trHeight w:val="191"/>
        </w:trPr>
        <w:tc>
          <w:tcPr>
            <w:tcW w:w="6500" w:type="dxa"/>
            <w:vAlign w:val="bottom"/>
          </w:tcPr>
          <w:p>
            <w:pPr>
              <w:spacing w:after="0"/>
              <w:rPr>
                <w:sz w:val="20"/>
                <w:szCs w:val="20"/>
                <w:color w:val="auto"/>
              </w:rPr>
            </w:pPr>
            <w:r>
              <w:rPr>
                <w:rFonts w:ascii="Arial" w:cs="Arial" w:eastAsia="Arial" w:hAnsi="Arial"/>
                <w:sz w:val="16"/>
                <w:szCs w:val="16"/>
                <w:color w:val="auto"/>
              </w:rPr>
              <w:t>Proportion of the Company’s ownership interest in Promedical S.A.</w:t>
            </w: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3,217</w:t>
            </w:r>
          </w:p>
        </w:tc>
        <w:tc>
          <w:tcPr>
            <w:tcW w:w="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3,217</w:t>
            </w:r>
          </w:p>
        </w:tc>
      </w:tr>
      <w:tr>
        <w:trPr>
          <w:trHeight w:val="223"/>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Other adjustments</w:t>
            </w:r>
          </w:p>
        </w:tc>
        <w:tc>
          <w:tcPr>
            <w:tcW w:w="2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(774)</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(757)</w:t>
            </w:r>
          </w:p>
        </w:tc>
      </w:tr>
      <w:tr>
        <w:trPr>
          <w:trHeight w:val="179"/>
        </w:trPr>
        <w:tc>
          <w:tcPr>
            <w:tcW w:w="650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Carrying amount of the Company’s interest in Promedical S.A.</w:t>
            </w:r>
          </w:p>
        </w:tc>
        <w:tc>
          <w:tcPr>
            <w:tcW w:w="218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2,443</w:t>
            </w: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2,460</w:t>
            </w:r>
          </w:p>
        </w:tc>
        <w:tc>
          <w:tcPr>
            <w:tcW w:w="120" w:type="dxa"/>
            <w:vAlign w:val="bottom"/>
            <w:tcBorders>
              <w:top w:val="single" w:sz="8" w:color="CCEEFF"/>
            </w:tcBorders>
          </w:tcPr>
          <w:p>
            <w:pPr>
              <w:spacing w:after="0"/>
              <w:rPr>
                <w:sz w:val="15"/>
                <w:szCs w:val="15"/>
                <w:color w:val="auto"/>
              </w:rPr>
            </w:pPr>
          </w:p>
        </w:tc>
      </w:tr>
      <w:tr>
        <w:trPr>
          <w:trHeight w:val="383"/>
        </w:trPr>
        <w:tc>
          <w:tcPr>
            <w:tcW w:w="6500" w:type="dxa"/>
            <w:vAlign w:val="bottom"/>
          </w:tcPr>
          <w:p>
            <w:pPr>
              <w:spacing w:after="0"/>
              <w:rPr>
                <w:sz w:val="20"/>
                <w:szCs w:val="20"/>
                <w:color w:val="auto"/>
              </w:rPr>
            </w:pPr>
            <w:r>
              <w:rPr>
                <w:rFonts w:ascii="Arial" w:cs="Arial" w:eastAsia="Arial" w:hAnsi="Arial"/>
                <w:sz w:val="16"/>
                <w:szCs w:val="16"/>
                <w:b w:val="1"/>
                <w:bCs w:val="1"/>
                <w:color w:val="auto"/>
              </w:rPr>
              <w:t>Note 17. Inventories, net</w:t>
            </w: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650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Borders>
              <w:bottom w:val="single" w:sz="8" w:color="CCEEFF"/>
            </w:tcBorders>
          </w:tcPr>
          <w:p>
            <w:pPr>
              <w:spacing w:after="0"/>
              <w:rPr>
                <w:sz w:val="24"/>
                <w:szCs w:val="24"/>
                <w:color w:val="auto"/>
              </w:rPr>
            </w:pPr>
          </w:p>
        </w:tc>
      </w:tr>
      <w:tr>
        <w:trPr>
          <w:trHeight w:val="191"/>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Raw materials and supplies</w:t>
            </w:r>
          </w:p>
        </w:tc>
        <w:tc>
          <w:tcPr>
            <w:tcW w:w="21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38,024</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30,198</w:t>
            </w:r>
          </w:p>
        </w:tc>
        <w:tc>
          <w:tcPr>
            <w:tcW w:w="120" w:type="dxa"/>
            <w:vAlign w:val="bottom"/>
            <w:shd w:val="clear" w:color="auto" w:fill="CCEEFF"/>
          </w:tcPr>
          <w:p>
            <w:pPr>
              <w:spacing w:after="0"/>
              <w:rPr>
                <w:sz w:val="16"/>
                <w:szCs w:val="16"/>
                <w:color w:val="auto"/>
              </w:rPr>
            </w:pPr>
          </w:p>
        </w:tc>
      </w:tr>
      <w:tr>
        <w:trPr>
          <w:trHeight w:val="191"/>
        </w:trPr>
        <w:tc>
          <w:tcPr>
            <w:tcW w:w="6500" w:type="dxa"/>
            <w:vAlign w:val="bottom"/>
          </w:tcPr>
          <w:p>
            <w:pPr>
              <w:spacing w:after="0"/>
              <w:rPr>
                <w:sz w:val="20"/>
                <w:szCs w:val="20"/>
                <w:color w:val="auto"/>
              </w:rPr>
            </w:pPr>
            <w:r>
              <w:rPr>
                <w:rFonts w:ascii="Arial" w:cs="Arial" w:eastAsia="Arial" w:hAnsi="Arial"/>
                <w:sz w:val="16"/>
                <w:szCs w:val="16"/>
                <w:color w:val="auto"/>
              </w:rPr>
              <w:t>Products in process</w:t>
            </w: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6,240</w:t>
            </w:r>
          </w:p>
        </w:tc>
        <w:tc>
          <w:tcPr>
            <w:tcW w:w="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5,960</w:t>
            </w:r>
          </w:p>
        </w:tc>
      </w:tr>
      <w:tr>
        <w:trPr>
          <w:trHeight w:val="191"/>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Finished products and merchandise</w:t>
            </w:r>
          </w:p>
        </w:tc>
        <w:tc>
          <w:tcPr>
            <w:tcW w:w="2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31,791</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27,886</w:t>
            </w:r>
          </w:p>
        </w:tc>
      </w:tr>
      <w:tr>
        <w:trPr>
          <w:trHeight w:val="207"/>
        </w:trPr>
        <w:tc>
          <w:tcPr>
            <w:tcW w:w="6500" w:type="dxa"/>
            <w:vAlign w:val="bottom"/>
          </w:tcPr>
          <w:p>
            <w:pPr>
              <w:spacing w:after="0"/>
              <w:rPr>
                <w:sz w:val="20"/>
                <w:szCs w:val="20"/>
                <w:color w:val="auto"/>
              </w:rPr>
            </w:pPr>
            <w:r>
              <w:rPr>
                <w:rFonts w:ascii="Arial" w:cs="Arial" w:eastAsia="Arial" w:hAnsi="Arial"/>
                <w:sz w:val="16"/>
                <w:szCs w:val="16"/>
                <w:color w:val="auto"/>
              </w:rPr>
              <w:t>Inventory in transit</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9,645</w:t>
            </w: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5,374</w:t>
            </w:r>
          </w:p>
        </w:tc>
      </w:tr>
      <w:tr>
        <w:trPr>
          <w:trHeight w:val="211"/>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Subtotal</w:t>
            </w:r>
          </w:p>
        </w:tc>
        <w:tc>
          <w:tcPr>
            <w:tcW w:w="2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85,700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69,418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9"/>
        </w:trPr>
        <w:tc>
          <w:tcPr>
            <w:tcW w:w="650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Less: Provision</w:t>
            </w:r>
          </w:p>
        </w:tc>
        <w:tc>
          <w:tcPr>
            <w:tcW w:w="2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(6,270</w:t>
            </w:r>
          </w:p>
        </w:tc>
        <w:tc>
          <w:tcPr>
            <w:tcW w:w="240" w:type="dxa"/>
            <w:vAlign w:val="bottom"/>
            <w:tcBorders>
              <w:bottom w:val="single" w:sz="8" w:color="CCEEFF"/>
            </w:tcBorders>
          </w:tcPr>
          <w:p>
            <w:pPr>
              <w:jc w:val="right"/>
              <w:ind w:right="100"/>
              <w:spacing w:after="0" w:line="175" w:lineRule="exact"/>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(5,134</w:t>
            </w:r>
          </w:p>
        </w:tc>
        <w:tc>
          <w:tcPr>
            <w:tcW w:w="120" w:type="dxa"/>
            <w:vAlign w:val="bottom"/>
            <w:tcBorders>
              <w:bottom w:val="single" w:sz="8" w:color="CCEEFF"/>
            </w:tcBorders>
          </w:tcPr>
          <w:p>
            <w:pPr>
              <w:jc w:val="right"/>
              <w:spacing w:after="0" w:line="175" w:lineRule="exact"/>
              <w:rPr>
                <w:sz w:val="20"/>
                <w:szCs w:val="20"/>
                <w:color w:val="auto"/>
              </w:rPr>
            </w:pPr>
            <w:r>
              <w:rPr>
                <w:rFonts w:ascii="Arial" w:cs="Arial" w:eastAsia="Arial" w:hAnsi="Arial"/>
                <w:sz w:val="16"/>
                <w:szCs w:val="16"/>
                <w:color w:val="auto"/>
                <w:w w:val="74"/>
              </w:rPr>
              <w:t>)</w:t>
            </w:r>
          </w:p>
        </w:tc>
      </w:tr>
      <w:tr>
        <w:trPr>
          <w:trHeight w:val="195"/>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79,430</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64,284</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Inventories recognized as an expense during the year ended December 31, 2021 amounted to $174,029 (2020: $140,153). These were included in cost of goods sold. Inventories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used as samples amounted to $3,867 (2020: $4,062) were recognized as marketing expenses.</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Write-downs of inventories to net realizable value and obsolescence adjustments amounted to $5,391 (2020: $1,616), were recognized as a provision expense during the year ended December 31, 2021.</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77" w:name="page178"/>
    <w:bookmarkEnd w:id="177"/>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6080" w:type="dxa"/>
            <w:vAlign w:val="bottom"/>
          </w:tcPr>
          <w:p>
            <w:pPr>
              <w:spacing w:after="0"/>
              <w:rPr>
                <w:sz w:val="20"/>
                <w:szCs w:val="20"/>
                <w:color w:val="auto"/>
              </w:rPr>
            </w:pPr>
            <w:r>
              <w:rPr>
                <w:rFonts w:ascii="Arial" w:cs="Arial" w:eastAsia="Arial" w:hAnsi="Arial"/>
                <w:sz w:val="16"/>
                <w:szCs w:val="16"/>
                <w:b w:val="1"/>
                <w:bCs w:val="1"/>
                <w:color w:val="auto"/>
              </w:rPr>
              <w:t>Note 18. Trade and other receivables, net</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6"/>
        </w:trPr>
        <w:tc>
          <w:tcPr>
            <w:tcW w:w="60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For the year ended</w:t>
            </w:r>
          </w:p>
        </w:tc>
      </w:tr>
      <w:tr>
        <w:trPr>
          <w:trHeight w:val="212"/>
        </w:trPr>
        <w:tc>
          <w:tcPr>
            <w:tcW w:w="60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6080" w:type="dxa"/>
            <w:vAlign w:val="bottom"/>
            <w:tcBorders>
              <w:bottom w:val="single" w:sz="8" w:color="CCEEFF"/>
            </w:tcBorders>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5"/>
        </w:trPr>
        <w:tc>
          <w:tcPr>
            <w:tcW w:w="608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 xml:space="preserve">Trade receivables, net of discounts </w:t>
            </w:r>
            <w:r>
              <w:rPr>
                <w:rFonts w:ascii="Arial" w:cs="Arial" w:eastAsia="Arial" w:hAnsi="Arial"/>
                <w:sz w:val="24"/>
                <w:szCs w:val="24"/>
                <w:color w:val="auto"/>
                <w:vertAlign w:val="superscript"/>
              </w:rPr>
              <w:t>1</w:t>
            </w:r>
          </w:p>
        </w:tc>
        <w:tc>
          <w:tcPr>
            <w:tcW w:w="28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111,071</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95,819</w:t>
            </w:r>
          </w:p>
        </w:tc>
        <w:tc>
          <w:tcPr>
            <w:tcW w:w="100" w:type="dxa"/>
            <w:vAlign w:val="bottom"/>
            <w:shd w:val="clear" w:color="auto" w:fill="CCEEFF"/>
          </w:tcPr>
          <w:p>
            <w:pPr>
              <w:spacing w:after="0"/>
              <w:rPr>
                <w:sz w:val="18"/>
                <w:szCs w:val="18"/>
                <w:color w:val="auto"/>
              </w:rPr>
            </w:pPr>
          </w:p>
        </w:tc>
      </w:tr>
      <w:tr>
        <w:trPr>
          <w:trHeight w:val="191"/>
        </w:trPr>
        <w:tc>
          <w:tcPr>
            <w:tcW w:w="6080" w:type="dxa"/>
            <w:vAlign w:val="bottom"/>
          </w:tcPr>
          <w:p>
            <w:pPr>
              <w:spacing w:after="0"/>
              <w:rPr>
                <w:sz w:val="20"/>
                <w:szCs w:val="20"/>
                <w:color w:val="auto"/>
              </w:rPr>
            </w:pPr>
            <w:r>
              <w:rPr>
                <w:rFonts w:ascii="Arial" w:cs="Arial" w:eastAsia="Arial" w:hAnsi="Arial"/>
                <w:sz w:val="16"/>
                <w:szCs w:val="16"/>
                <w:color w:val="auto"/>
              </w:rPr>
              <w:t>Impairment of trade receivables</w:t>
            </w:r>
          </w:p>
        </w:tc>
        <w:tc>
          <w:tcPr>
            <w:tcW w:w="2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(8,755)</w:t>
            </w:r>
          </w:p>
        </w:tc>
        <w:tc>
          <w:tcPr>
            <w:tcW w:w="360" w:type="dxa"/>
            <w:vAlign w:val="bottom"/>
          </w:tcPr>
          <w:p>
            <w:pPr>
              <w:spacing w:after="0"/>
              <w:rPr>
                <w:sz w:val="16"/>
                <w:szCs w:val="16"/>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(9,573)</w:t>
            </w:r>
          </w:p>
        </w:tc>
      </w:tr>
      <w:tr>
        <w:trPr>
          <w:trHeight w:val="223"/>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2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15,132</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10,247</w:t>
            </w:r>
          </w:p>
        </w:tc>
        <w:tc>
          <w:tcPr>
            <w:tcW w:w="100" w:type="dxa"/>
            <w:vAlign w:val="bottom"/>
            <w:shd w:val="clear" w:color="auto" w:fill="CCEEFF"/>
          </w:tcPr>
          <w:p>
            <w:pPr>
              <w:spacing w:after="0"/>
              <w:rPr>
                <w:sz w:val="19"/>
                <w:szCs w:val="19"/>
                <w:color w:val="auto"/>
              </w:rPr>
            </w:pPr>
          </w:p>
        </w:tc>
      </w:tr>
      <w:tr>
        <w:trPr>
          <w:trHeight w:val="179"/>
        </w:trPr>
        <w:tc>
          <w:tcPr>
            <w:tcW w:w="608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Trade receivables, net of discounts and impairment</w:t>
            </w:r>
          </w:p>
        </w:tc>
        <w:tc>
          <w:tcPr>
            <w:tcW w:w="260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117,449</w:t>
            </w:r>
          </w:p>
        </w:tc>
        <w:tc>
          <w:tcPr>
            <w:tcW w:w="240" w:type="dxa"/>
            <w:vAlign w:val="bottom"/>
            <w:tcBorders>
              <w:top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96,493</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72" w:lineRule="exact"/>
        <w:rPr>
          <w:sz w:val="20"/>
          <w:szCs w:val="20"/>
          <w:color w:val="auto"/>
        </w:rPr>
      </w:pPr>
    </w:p>
    <w:p>
      <w:pPr>
        <w:ind w:left="284" w:hanging="284"/>
        <w:spacing w:after="0"/>
        <w:tabs>
          <w:tab w:leader="none" w:pos="284" w:val="left"/>
        </w:tabs>
        <w:numPr>
          <w:ilvl w:val="0"/>
          <w:numId w:val="92"/>
        </w:numPr>
        <w:rPr>
          <w:rFonts w:ascii="Arial" w:cs="Arial" w:eastAsia="Arial" w:hAnsi="Arial"/>
          <w:sz w:val="27"/>
          <w:szCs w:val="27"/>
          <w:color w:val="auto"/>
          <w:vertAlign w:val="superscript"/>
        </w:rPr>
      </w:pPr>
      <w:r>
        <w:rPr>
          <w:rFonts w:ascii="Arial" w:cs="Arial" w:eastAsia="Arial" w:hAnsi="Arial"/>
          <w:sz w:val="16"/>
          <w:szCs w:val="16"/>
          <w:color w:val="auto"/>
        </w:rPr>
        <w:t>Discount and return provision amounts to $7,345 (2020: $3,878).</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color w:val="auto"/>
        </w:rPr>
        <w:t>Refer to Note 27. Financial instruments for the Group’s disclosures on credit risk management and expected credit losses.</w:t>
      </w:r>
    </w:p>
    <w:p>
      <w:pPr>
        <w:spacing w:after="0" w:line="198" w:lineRule="exact"/>
        <w:rPr>
          <w:sz w:val="20"/>
          <w:szCs w:val="20"/>
          <w:color w:val="auto"/>
        </w:rPr>
      </w:pPr>
    </w:p>
    <w:p>
      <w:pPr>
        <w:ind w:left="4"/>
        <w:spacing w:after="0" w:line="275" w:lineRule="auto"/>
        <w:rPr>
          <w:sz w:val="20"/>
          <w:szCs w:val="20"/>
          <w:color w:val="auto"/>
        </w:rPr>
      </w:pPr>
      <w:r>
        <w:rPr>
          <w:rFonts w:ascii="Arial" w:cs="Arial" w:eastAsia="Arial" w:hAnsi="Arial"/>
          <w:sz w:val="16"/>
          <w:szCs w:val="16"/>
          <w:color w:val="auto"/>
        </w:rPr>
        <w:t>The Group has entered into factoring arrangements to sell certain trade receivables to third parties under recourse programs, retaining all risk and rewards incidental to the trade receivables, so no derecognition of the financial assets has been performed. Refer to Note 19.</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3620" w:type="dxa"/>
            <w:vAlign w:val="bottom"/>
          </w:tcPr>
          <w:p>
            <w:pPr>
              <w:spacing w:after="0"/>
              <w:rPr>
                <w:sz w:val="20"/>
                <w:szCs w:val="20"/>
                <w:color w:val="auto"/>
              </w:rPr>
            </w:pPr>
            <w:r>
              <w:rPr>
                <w:rFonts w:ascii="Arial" w:cs="Arial" w:eastAsia="Arial" w:hAnsi="Arial"/>
                <w:sz w:val="16"/>
                <w:szCs w:val="16"/>
                <w:b w:val="1"/>
                <w:bCs w:val="1"/>
                <w:color w:val="auto"/>
              </w:rPr>
              <w:t>Note 19. Borrowings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8"/>
        </w:trPr>
        <w:tc>
          <w:tcPr>
            <w:tcW w:w="3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r>
      <w:tr>
        <w:trPr>
          <w:trHeight w:val="212"/>
        </w:trPr>
        <w:tc>
          <w:tcPr>
            <w:tcW w:w="3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Restated</w:t>
            </w: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Restated</w:t>
            </w:r>
          </w:p>
        </w:tc>
      </w:tr>
      <w:tr>
        <w:trPr>
          <w:trHeight w:val="191"/>
        </w:trPr>
        <w:tc>
          <w:tcPr>
            <w:tcW w:w="3620" w:type="dxa"/>
            <w:vAlign w:val="bottom"/>
          </w:tcPr>
          <w:p>
            <w:pPr>
              <w:spacing w:after="0"/>
              <w:rPr>
                <w:sz w:val="20"/>
                <w:szCs w:val="20"/>
                <w:color w:val="auto"/>
              </w:rPr>
            </w:pPr>
            <w:r>
              <w:rPr>
                <w:rFonts w:ascii="Arial" w:cs="Arial" w:eastAsia="Arial" w:hAnsi="Arial"/>
                <w:sz w:val="16"/>
                <w:szCs w:val="16"/>
                <w:b w:val="1"/>
                <w:bCs w:val="1"/>
                <w:color w:val="auto"/>
              </w:rPr>
              <w:t>Unsecured borrowings at amortized cost</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36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Syndicated term loan </w:t>
            </w:r>
            <w:r>
              <w:rPr>
                <w:rFonts w:ascii="Arial" w:cs="Arial" w:eastAsia="Arial" w:hAnsi="Arial"/>
                <w:sz w:val="26"/>
                <w:szCs w:val="26"/>
                <w:color w:val="auto"/>
                <w:vertAlign w:val="superscript"/>
              </w:rPr>
              <w:t>(1)</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46,505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81,906</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88,781</w:t>
            </w:r>
          </w:p>
        </w:tc>
      </w:tr>
      <w:tr>
        <w:trPr>
          <w:trHeight w:val="227"/>
        </w:trPr>
        <w:tc>
          <w:tcPr>
            <w:tcW w:w="3620" w:type="dxa"/>
            <w:vAlign w:val="bottom"/>
          </w:tcPr>
          <w:p>
            <w:pPr>
              <w:spacing w:after="0" w:line="227" w:lineRule="exact"/>
              <w:rPr>
                <w:sz w:val="20"/>
                <w:szCs w:val="20"/>
                <w:color w:val="auto"/>
              </w:rPr>
            </w:pPr>
            <w:r>
              <w:rPr>
                <w:rFonts w:ascii="Arial" w:cs="Arial" w:eastAsia="Arial" w:hAnsi="Arial"/>
                <w:sz w:val="16"/>
                <w:szCs w:val="16"/>
                <w:color w:val="auto"/>
              </w:rPr>
              <w:t xml:space="preserve">Other term loan </w:t>
            </w:r>
            <w:r>
              <w:rPr>
                <w:rFonts w:ascii="Arial" w:cs="Arial" w:eastAsia="Arial" w:hAnsi="Arial"/>
                <w:sz w:val="26"/>
                <w:szCs w:val="26"/>
                <w:color w:val="auto"/>
                <w:vertAlign w:val="superscript"/>
              </w:rPr>
              <w:t>(2)</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51,593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85,645</w:t>
            </w: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75,008</w:t>
            </w:r>
          </w:p>
        </w:tc>
      </w:tr>
      <w:tr>
        <w:trPr>
          <w:trHeight w:val="227"/>
        </w:trPr>
        <w:tc>
          <w:tcPr>
            <w:tcW w:w="36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Lease liabilities </w:t>
            </w:r>
            <w:r>
              <w:rPr>
                <w:rFonts w:ascii="Arial" w:cs="Arial" w:eastAsia="Arial" w:hAnsi="Arial"/>
                <w:sz w:val="26"/>
                <w:szCs w:val="26"/>
                <w:color w:val="auto"/>
                <w:vertAlign w:val="superscript"/>
              </w:rPr>
              <w:t>(3)</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31,747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36,799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29,794</w:t>
            </w:r>
          </w:p>
        </w:tc>
      </w:tr>
      <w:tr>
        <w:trPr>
          <w:trHeight w:val="227"/>
        </w:trPr>
        <w:tc>
          <w:tcPr>
            <w:tcW w:w="3620" w:type="dxa"/>
            <w:vAlign w:val="bottom"/>
          </w:tcPr>
          <w:p>
            <w:pPr>
              <w:spacing w:after="0" w:line="227" w:lineRule="exact"/>
              <w:rPr>
                <w:sz w:val="20"/>
                <w:szCs w:val="20"/>
                <w:color w:val="auto"/>
              </w:rPr>
            </w:pPr>
            <w:r>
              <w:rPr>
                <w:rFonts w:ascii="Arial" w:cs="Arial" w:eastAsia="Arial" w:hAnsi="Arial"/>
                <w:sz w:val="16"/>
                <w:szCs w:val="16"/>
                <w:color w:val="auto"/>
              </w:rPr>
              <w:t xml:space="preserve">Factoring obligations </w:t>
            </w:r>
            <w:r>
              <w:rPr>
                <w:rFonts w:ascii="Arial" w:cs="Arial" w:eastAsia="Arial" w:hAnsi="Arial"/>
                <w:sz w:val="26"/>
                <w:szCs w:val="26"/>
                <w:color w:val="auto"/>
                <w:vertAlign w:val="superscript"/>
              </w:rPr>
              <w:t>(4)</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10,609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11,927</w:t>
            </w:r>
          </w:p>
        </w:tc>
        <w:tc>
          <w:tcPr>
            <w:tcW w:w="120" w:type="dxa"/>
            <w:vAlign w:val="bottom"/>
          </w:tcPr>
          <w:p>
            <w:pPr>
              <w:spacing w:after="0"/>
              <w:rPr>
                <w:sz w:val="19"/>
                <w:szCs w:val="19"/>
                <w:color w:val="auto"/>
              </w:rPr>
            </w:pPr>
          </w:p>
        </w:tc>
      </w:tr>
      <w:tr>
        <w:trPr>
          <w:trHeight w:val="227"/>
        </w:trPr>
        <w:tc>
          <w:tcPr>
            <w:tcW w:w="36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Put option agreement </w:t>
            </w:r>
            <w:r>
              <w:rPr>
                <w:rFonts w:ascii="Arial" w:cs="Arial" w:eastAsia="Arial" w:hAnsi="Arial"/>
                <w:sz w:val="26"/>
                <w:szCs w:val="26"/>
                <w:color w:val="auto"/>
                <w:vertAlign w:val="superscript"/>
              </w:rPr>
              <w:t>(5)</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239,273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211,880</w:t>
            </w:r>
          </w:p>
        </w:tc>
      </w:tr>
      <w:tr>
        <w:trPr>
          <w:trHeight w:val="227"/>
        </w:trPr>
        <w:tc>
          <w:tcPr>
            <w:tcW w:w="3620" w:type="dxa"/>
            <w:vAlign w:val="bottom"/>
          </w:tcPr>
          <w:p>
            <w:pPr>
              <w:spacing w:after="0" w:line="227" w:lineRule="exact"/>
              <w:rPr>
                <w:sz w:val="20"/>
                <w:szCs w:val="20"/>
                <w:color w:val="auto"/>
              </w:rPr>
            </w:pPr>
            <w:r>
              <w:rPr>
                <w:rFonts w:ascii="Arial" w:cs="Arial" w:eastAsia="Arial" w:hAnsi="Arial"/>
                <w:sz w:val="16"/>
                <w:szCs w:val="16"/>
                <w:color w:val="auto"/>
              </w:rPr>
              <w:t xml:space="preserve">Bank overdrafts </w:t>
            </w:r>
            <w:r>
              <w:rPr>
                <w:rFonts w:ascii="Arial" w:cs="Arial" w:eastAsia="Arial" w:hAnsi="Arial"/>
                <w:sz w:val="26"/>
                <w:szCs w:val="26"/>
                <w:color w:val="auto"/>
                <w:vertAlign w:val="superscript"/>
              </w:rPr>
              <w:t>(6)</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902</w:t>
            </w: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3,047</w:t>
            </w:r>
          </w:p>
        </w:tc>
      </w:tr>
      <w:tr>
        <w:trPr>
          <w:trHeight w:val="259"/>
        </w:trPr>
        <w:tc>
          <w:tcPr>
            <w:tcW w:w="3620" w:type="dxa"/>
            <w:vAlign w:val="bottom"/>
            <w:shd w:val="clear" w:color="auto" w:fill="CCEEFF"/>
          </w:tcPr>
          <w:p>
            <w:pPr>
              <w:spacing w:after="0" w:line="238" w:lineRule="exact"/>
              <w:rPr>
                <w:sz w:val="20"/>
                <w:szCs w:val="20"/>
                <w:color w:val="auto"/>
              </w:rPr>
            </w:pPr>
            <w:r>
              <w:rPr>
                <w:rFonts w:ascii="Arial" w:cs="Arial" w:eastAsia="Arial" w:hAnsi="Arial"/>
                <w:sz w:val="16"/>
                <w:szCs w:val="16"/>
                <w:color w:val="auto"/>
              </w:rPr>
              <w:t xml:space="preserve">Notes </w:t>
            </w:r>
            <w:r>
              <w:rPr>
                <w:rFonts w:ascii="Arial" w:cs="Arial" w:eastAsia="Arial" w:hAnsi="Arial"/>
                <w:sz w:val="26"/>
                <w:szCs w:val="26"/>
                <w:color w:val="auto"/>
                <w:vertAlign w:val="superscript"/>
              </w:rPr>
              <w:t>(7)</w:t>
            </w:r>
          </w:p>
        </w:tc>
        <w:tc>
          <w:tcPr>
            <w:tcW w:w="1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112,857</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9"/>
        </w:trPr>
        <w:tc>
          <w:tcPr>
            <w:tcW w:w="362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 Interest bearing liabilities</w:t>
            </w:r>
          </w:p>
        </w:tc>
        <w:tc>
          <w:tcPr>
            <w:tcW w:w="10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CCEEFF"/>
              <w:bottom w:val="single" w:sz="8" w:color="CCEEFF"/>
            </w:tcBorders>
          </w:tcPr>
          <w:p>
            <w:pPr>
              <w:spacing w:after="0"/>
              <w:rPr>
                <w:sz w:val="15"/>
                <w:szCs w:val="15"/>
                <w:color w:val="auto"/>
              </w:rPr>
            </w:pPr>
          </w:p>
        </w:tc>
        <w:tc>
          <w:tcPr>
            <w:tcW w:w="10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CCEEFF"/>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253,366</w:t>
            </w:r>
          </w:p>
        </w:tc>
        <w:tc>
          <w:tcPr>
            <w:tcW w:w="4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454,518</w:t>
            </w:r>
          </w:p>
        </w:tc>
        <w:tc>
          <w:tcPr>
            <w:tcW w:w="2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420,437</w:t>
            </w:r>
          </w:p>
        </w:tc>
        <w:tc>
          <w:tcPr>
            <w:tcW w:w="120" w:type="dxa"/>
            <w:vAlign w:val="bottom"/>
            <w:tcBorders>
              <w:top w:val="single" w:sz="8" w:color="CCEEFF"/>
              <w:bottom w:val="single" w:sz="8" w:color="CCEEFF"/>
            </w:tcBorders>
          </w:tcPr>
          <w:p>
            <w:pPr>
              <w:spacing w:after="0"/>
              <w:rPr>
                <w:sz w:val="15"/>
                <w:szCs w:val="15"/>
                <w:color w:val="auto"/>
              </w:rPr>
            </w:pPr>
          </w:p>
        </w:tc>
      </w:tr>
      <w:tr>
        <w:trPr>
          <w:trHeight w:val="191"/>
        </w:trPr>
        <w:tc>
          <w:tcPr>
            <w:tcW w:w="36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3620" w:type="dxa"/>
            <w:vAlign w:val="bottom"/>
          </w:tcPr>
          <w:p>
            <w:pPr>
              <w:spacing w:after="0"/>
              <w:rPr>
                <w:sz w:val="20"/>
                <w:szCs w:val="20"/>
                <w:color w:val="auto"/>
              </w:rPr>
            </w:pPr>
            <w:r>
              <w:rPr>
                <w:rFonts w:ascii="Arial" w:cs="Arial" w:eastAsia="Arial" w:hAnsi="Arial"/>
                <w:sz w:val="16"/>
                <w:szCs w:val="16"/>
                <w:b w:val="1"/>
                <w:bCs w:val="1"/>
                <w:color w:val="auto"/>
              </w:rPr>
              <w:t>Current</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74,646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114,780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99,975</w:t>
            </w:r>
          </w:p>
        </w:tc>
      </w:tr>
      <w:tr>
        <w:trPr>
          <w:trHeight w:val="191"/>
        </w:trPr>
        <w:tc>
          <w:tcPr>
            <w:tcW w:w="3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 Current</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178,720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339,738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320,462</w:t>
            </w:r>
          </w:p>
        </w:tc>
      </w:tr>
      <w:tr>
        <w:trPr>
          <w:trHeight w:val="383"/>
        </w:trPr>
        <w:tc>
          <w:tcPr>
            <w:tcW w:w="3620" w:type="dxa"/>
            <w:vAlign w:val="bottom"/>
          </w:tcPr>
          <w:p>
            <w:pPr>
              <w:spacing w:after="0"/>
              <w:rPr>
                <w:sz w:val="20"/>
                <w:szCs w:val="20"/>
                <w:color w:val="auto"/>
              </w:rPr>
            </w:pPr>
            <w:r>
              <w:rPr>
                <w:rFonts w:ascii="Arial" w:cs="Arial" w:eastAsia="Arial" w:hAnsi="Arial"/>
                <w:sz w:val="16"/>
                <w:szCs w:val="16"/>
                <w:i w:val="1"/>
                <w:iCs w:val="1"/>
                <w:color w:val="auto"/>
              </w:rPr>
              <w:t>1.  Syndicated term loan</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6"/>
        </w:trPr>
        <w:tc>
          <w:tcPr>
            <w:tcW w:w="3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Range of</w:t>
            </w: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Maturity</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2"/>
        </w:trPr>
        <w:tc>
          <w:tcPr>
            <w:tcW w:w="36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Interest</w:t>
            </w:r>
          </w:p>
        </w:tc>
        <w:tc>
          <w:tcPr>
            <w:tcW w:w="1140" w:type="dxa"/>
            <w:vAlign w:val="bottom"/>
          </w:tcPr>
          <w:p>
            <w:pPr>
              <w:jc w:val="right"/>
              <w:ind w:right="320"/>
              <w:spacing w:after="0"/>
              <w:rPr>
                <w:sz w:val="20"/>
                <w:szCs w:val="20"/>
                <w:color w:val="auto"/>
              </w:rPr>
            </w:pPr>
            <w:r>
              <w:rPr>
                <w:rFonts w:ascii="Arial" w:cs="Arial" w:eastAsia="Arial" w:hAnsi="Arial"/>
                <w:sz w:val="16"/>
                <w:szCs w:val="16"/>
                <w:b w:val="1"/>
                <w:bCs w:val="1"/>
                <w:color w:val="auto"/>
              </w:rPr>
              <w:t>Year</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79"/>
        </w:trPr>
        <w:tc>
          <w:tcPr>
            <w:tcW w:w="3620" w:type="dxa"/>
            <w:vAlign w:val="bottom"/>
            <w:tcBorders>
              <w:top w:val="single" w:sz="8" w:color="CCEEFF"/>
            </w:tcBorders>
            <w:shd w:val="clear" w:color="auto" w:fill="CCEEFF"/>
          </w:tcPr>
          <w:p>
            <w:pPr>
              <w:ind w:left="140"/>
              <w:spacing w:after="0" w:line="179" w:lineRule="exact"/>
              <w:rPr>
                <w:sz w:val="20"/>
                <w:szCs w:val="20"/>
                <w:color w:val="auto"/>
              </w:rPr>
            </w:pPr>
            <w:r>
              <w:rPr>
                <w:rFonts w:ascii="Arial" w:cs="Arial" w:eastAsia="Arial" w:hAnsi="Arial"/>
                <w:sz w:val="16"/>
                <w:szCs w:val="16"/>
                <w:color w:val="auto"/>
              </w:rPr>
              <w:t>Syndicated term loan</w:t>
            </w:r>
          </w:p>
        </w:tc>
        <w:tc>
          <w:tcPr>
            <w:tcW w:w="102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92"/>
              </w:rPr>
              <w:t>COP</w:t>
            </w:r>
          </w:p>
        </w:tc>
        <w:tc>
          <w:tcPr>
            <w:tcW w:w="2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93"/>
              </w:rPr>
              <w:t>IBR+ 5.3%</w:t>
            </w: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4"/>
        </w:trPr>
        <w:tc>
          <w:tcPr>
            <w:tcW w:w="3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(Variable)</w:t>
            </w:r>
          </w:p>
        </w:tc>
        <w:tc>
          <w:tcPr>
            <w:tcW w:w="11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2025</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39,521</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51,970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57,492</w:t>
            </w:r>
          </w:p>
        </w:tc>
      </w:tr>
      <w:tr>
        <w:trPr>
          <w:trHeight w:val="179"/>
        </w:trPr>
        <w:tc>
          <w:tcPr>
            <w:tcW w:w="3620" w:type="dxa"/>
            <w:vAlign w:val="bottom"/>
          </w:tcPr>
          <w:p>
            <w:pPr>
              <w:ind w:left="140"/>
              <w:spacing w:after="0" w:line="179" w:lineRule="exact"/>
              <w:rPr>
                <w:sz w:val="20"/>
                <w:szCs w:val="20"/>
                <w:color w:val="auto"/>
              </w:rPr>
            </w:pPr>
            <w:r>
              <w:rPr>
                <w:rFonts w:ascii="Arial" w:cs="Arial" w:eastAsia="Arial" w:hAnsi="Arial"/>
                <w:sz w:val="16"/>
                <w:szCs w:val="16"/>
                <w:color w:val="auto"/>
              </w:rPr>
              <w:t>Syndicated term loan</w:t>
            </w:r>
          </w:p>
        </w:tc>
        <w:tc>
          <w:tcPr>
            <w:tcW w:w="1260" w:type="dxa"/>
            <w:vAlign w:val="bottom"/>
            <w:gridSpan w:val="2"/>
          </w:tcPr>
          <w:p>
            <w:pPr>
              <w:jc w:val="center"/>
              <w:ind w:right="260"/>
              <w:spacing w:after="0" w:line="179" w:lineRule="exact"/>
              <w:rPr>
                <w:sz w:val="20"/>
                <w:szCs w:val="20"/>
                <w:color w:val="auto"/>
              </w:rPr>
            </w:pPr>
            <w:r>
              <w:rPr>
                <w:rFonts w:ascii="Arial" w:cs="Arial" w:eastAsia="Arial" w:hAnsi="Arial"/>
                <w:sz w:val="16"/>
                <w:szCs w:val="16"/>
                <w:color w:val="auto"/>
                <w:w w:val="94"/>
              </w:rPr>
              <w:t>USD</w:t>
            </w:r>
          </w:p>
        </w:tc>
        <w:tc>
          <w:tcPr>
            <w:tcW w:w="1120" w:type="dxa"/>
            <w:vAlign w:val="bottom"/>
            <w:gridSpan w:val="2"/>
          </w:tcPr>
          <w:p>
            <w:pPr>
              <w:jc w:val="center"/>
              <w:ind w:right="120"/>
              <w:spacing w:after="0" w:line="179" w:lineRule="exact"/>
              <w:rPr>
                <w:sz w:val="20"/>
                <w:szCs w:val="20"/>
                <w:color w:val="auto"/>
              </w:rPr>
            </w:pPr>
            <w:r>
              <w:rPr>
                <w:rFonts w:ascii="Arial" w:cs="Arial" w:eastAsia="Arial" w:hAnsi="Arial"/>
                <w:sz w:val="16"/>
                <w:szCs w:val="16"/>
                <w:color w:val="auto"/>
                <w:w w:val="93"/>
              </w:rPr>
              <w:t>Libor+ 4.8%</w:t>
            </w: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4"/>
        </w:trPr>
        <w:tc>
          <w:tcPr>
            <w:tcW w:w="3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(Variable)</w:t>
            </w:r>
          </w:p>
        </w:tc>
        <w:tc>
          <w:tcPr>
            <w:tcW w:w="1140" w:type="dxa"/>
            <w:vAlign w:val="bottom"/>
          </w:tcPr>
          <w:p>
            <w:pPr>
              <w:jc w:val="right"/>
              <w:ind w:right="260"/>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7,850</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31,150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32,900</w:t>
            </w:r>
          </w:p>
        </w:tc>
      </w:tr>
      <w:tr>
        <w:trPr>
          <w:trHeight w:val="223"/>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Amortized cost</w:t>
            </w:r>
          </w:p>
        </w:tc>
        <w:tc>
          <w:tcPr>
            <w:tcW w:w="126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92"/>
              </w:rPr>
              <w:t>COP</w:t>
            </w: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1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(866)</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(1,214)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(1,611)</w:t>
            </w:r>
          </w:p>
        </w:tc>
      </w:tr>
      <w:tr>
        <w:trPr>
          <w:trHeight w:val="179"/>
        </w:trPr>
        <w:tc>
          <w:tcPr>
            <w:tcW w:w="362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 Syndicated term loan</w:t>
            </w:r>
          </w:p>
        </w:tc>
        <w:tc>
          <w:tcPr>
            <w:tcW w:w="10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46,505</w:t>
            </w: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81,906</w:t>
            </w: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88,781</w:t>
            </w:r>
          </w:p>
        </w:tc>
        <w:tc>
          <w:tcPr>
            <w:tcW w:w="120" w:type="dxa"/>
            <w:vAlign w:val="bottom"/>
            <w:tcBorders>
              <w:top w:val="single" w:sz="8" w:color="CCEEFF"/>
            </w:tcBorders>
          </w:tcPr>
          <w:p>
            <w:pPr>
              <w:spacing w:after="0"/>
              <w:rPr>
                <w:sz w:val="15"/>
                <w:szCs w:val="15"/>
                <w:color w:val="auto"/>
              </w:rPr>
            </w:pPr>
          </w:p>
        </w:tc>
      </w:tr>
      <w:tr>
        <w:trPr>
          <w:trHeight w:val="577"/>
        </w:trPr>
        <w:tc>
          <w:tcPr>
            <w:tcW w:w="3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color w:val="auto"/>
              </w:rPr>
              <w:t>F-53</w:t>
            </w: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792" w:right="31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On November 20, 2018, Procaps S.A. signed a syndicated loan agreement with the following banks: Portion in Colombian pesos (COP) - Davivienda and Bancolombia; US dollar portion (USD) - Banco de Credito del Peru, Bancolombia Panama and Banco Sabadell. The total value of the syndicated loan amounts to $200,434 million COP (portion in COP) and $35 million USD (portion in USD), Fiduciaria Bancolombia acts as the agent of the loan. C.I. Procaps S.A., Procaps S.A. de C.V (previously Laboratorios Lopez S.A. de C.V.), Biokemical S.A., Pharmarketing S.A. (Panama), Pharmarketing Salvador S.A. de C.V., Pharmarketing S.A. (Guatemala S.A.), C.D.I. Salvador S.A. de C.V., C.D.I. Nicaragua S.A., C.D.I. Guatemala S.A., Pharmarketing Dominicana SRL, and Pharmarketing Costa Rica S.A., act as co-debtors, while Pharmayect S.A., Inversiones Crynssen S.A.S., Inversiones Ganeden S.A.S., Inversiones Henia S.A.S., Inversiones Jades S.A.S., and Industrias Kadima S.A.S., as guarantors.</w:t>
      </w:r>
    </w:p>
    <w:p>
      <w:pPr>
        <w:spacing w:after="0" w:line="14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resources obtained were used for advance payment and/or novation of some obligations to be refinanced. The conditions of the loan had a term of 5 years for installment payments and the interest rates agreed are as follows: IBR + 5.30% for the portion in COP and Libor + 4.80% for the USD portion.</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loans received by Banco de Crédito del Peru and Banco Sabadell were precanceled during the month of November 2021, due to a new agreement with and improvement in terms and conditions with Prudential Senior Notes.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Main covenants required by the loan contract: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Financial commitments</w:t>
      </w:r>
    </w:p>
    <w:p>
      <w:pPr>
        <w:spacing w:after="0" w:line="198" w:lineRule="exact"/>
        <w:rPr>
          <w:sz w:val="20"/>
          <w:szCs w:val="20"/>
          <w:color w:val="auto"/>
        </w:rPr>
      </w:pPr>
    </w:p>
    <w:p>
      <w:pPr>
        <w:jc w:val="both"/>
        <w:ind w:left="560" w:hanging="278"/>
        <w:spacing w:after="0" w:line="262" w:lineRule="auto"/>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Indebtedness Indicator (Indebtedness/EBITDA) as of June 30 and December 30 of each year, during the loan term, must be less than or equal to 3.5 times. If the indicator is greater than 3.0 and less than 3.5, it proceeds to the extent that this value is originated by causes other than additional debt and the justification of the increase must be presented to the agent.</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Short-term leverage ratio &lt; 1.0 on the last day of each semester.</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EBITDA ratio / financial expenses = or &gt; 3.0 on the last day of each semester.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commitments</w:t>
      </w:r>
    </w:p>
    <w:p>
      <w:pPr>
        <w:spacing w:after="0" w:line="198" w:lineRule="exact"/>
        <w:rPr>
          <w:sz w:val="20"/>
          <w:szCs w:val="20"/>
          <w:color w:val="auto"/>
        </w:rPr>
      </w:pPr>
    </w:p>
    <w:p>
      <w:pPr>
        <w:jc w:val="both"/>
        <w:ind w:left="560" w:hanging="278"/>
        <w:spacing w:after="0" w:line="287" w:lineRule="auto"/>
        <w:tabs>
          <w:tab w:leader="none" w:pos="5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syndicated credit agreement establishes that each of the jointly obligated parties, unless they have the express, prior and written authorization of the Agent, will refrain from incurring any type of financial debt when the proforma indebtedness indicator, once acquired the additional financial debt, is greater than 3.0 times and maintaining any type of financial debt when the pro forma indebtedness indicator, once the national debt is acquired, is greater than 3.5 times.</w:t>
      </w:r>
    </w:p>
    <w:p>
      <w:pPr>
        <w:spacing w:after="0" w:line="146" w:lineRule="exact"/>
        <w:rPr>
          <w:rFonts w:ascii="Arial" w:cs="Arial" w:eastAsia="Arial" w:hAnsi="Arial"/>
          <w:sz w:val="15"/>
          <w:szCs w:val="15"/>
          <w:color w:val="auto"/>
        </w:rPr>
      </w:pPr>
    </w:p>
    <w:p>
      <w:pPr>
        <w:jc w:val="both"/>
        <w:ind w:left="560" w:right="20" w:hanging="278"/>
        <w:spacing w:after="0" w:line="258" w:lineRule="auto"/>
        <w:tabs>
          <w:tab w:leader="none" w:pos="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Each of the joint obligated parties, except with express, prior and written authorization of the Agent to do otherwise, will refrain from contracting finance and/or operating lease obligations with purchase option with a joint balance payable greater than $85,000,000 (Eighty-Five Billion Pesos, local currency) or its equivalent in another currency. For purposes of clarity, the reclassification of obligations as financial lease obligations by application of the Accounting Standards will not consume the balance set forth herein and may not be renewed.</w:t>
      </w:r>
    </w:p>
    <w:p>
      <w:pPr>
        <w:spacing w:after="0" w:line="164" w:lineRule="exact"/>
        <w:rPr>
          <w:rFonts w:ascii="Arial" w:cs="Arial" w:eastAsia="Arial" w:hAnsi="Arial"/>
          <w:sz w:val="16"/>
          <w:szCs w:val="16"/>
          <w:color w:val="auto"/>
        </w:rPr>
      </w:pPr>
    </w:p>
    <w:p>
      <w:pPr>
        <w:ind w:left="560" w:hanging="278"/>
        <w:spacing w:after="0"/>
        <w:tabs>
          <w:tab w:leader="none" w:pos="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payment of dividends is restricted to anyone other than the jointly obligated parties.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79" w:name="page180"/>
    <w:bookmarkEnd w:id="179"/>
    <w:p>
      <w:pPr>
        <w:jc w:val="center"/>
        <w:ind w:right="-12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12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2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12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 syndicated loan agreement establishes that, in the event of breach of covenants by the debtor, the lenders shall be entitled to declare early maturity of the debts.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6"/>
          <w:szCs w:val="16"/>
          <w:color w:val="auto"/>
        </w:rPr>
        <w:t>Management continuously monitors the observation of these obligations, and was in compliance as of the date of these financial statements.</w:t>
      </w:r>
    </w:p>
    <w:p>
      <w:pPr>
        <w:sectPr>
          <w:pgSz w:w="11900" w:h="16838" w:orient="portrait"/>
          <w:cols w:equalWidth="0" w:num="1">
            <w:col w:w="11144"/>
          </w:cols>
          <w:pgMar w:left="316" w:top="792" w:right="439" w:bottom="1440" w:gutter="0" w:footer="0" w:header="0"/>
        </w:sectPr>
      </w:pPr>
    </w:p>
    <w:p>
      <w:pPr>
        <w:spacing w:after="0" w:line="198" w:lineRule="exact"/>
        <w:rPr>
          <w:sz w:val="20"/>
          <w:szCs w:val="20"/>
          <w:color w:val="auto"/>
        </w:rPr>
      </w:pPr>
    </w:p>
    <w:p>
      <w:pPr>
        <w:jc w:val="both"/>
        <w:ind w:left="144" w:right="1440" w:hanging="144"/>
        <w:spacing w:after="0" w:line="669" w:lineRule="auto"/>
        <w:tabs>
          <w:tab w:leader="none" w:pos="160" w:val="left"/>
        </w:tabs>
        <w:numPr>
          <w:ilvl w:val="0"/>
          <w:numId w:val="95"/>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Other term loan </w:t>
      </w:r>
      <w:r>
        <w:rPr>
          <w:rFonts w:ascii="Arial" w:cs="Arial" w:eastAsia="Arial" w:hAnsi="Arial"/>
          <w:sz w:val="14"/>
          <w:szCs w:val="14"/>
          <w:color w:val="auto"/>
        </w:rPr>
        <w:t>Other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Total Other term loans</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16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Range of Interest</w:t>
            </w: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Maturity Year</w:t>
            </w:r>
          </w:p>
        </w:tc>
        <w:tc>
          <w:tcPr>
            <w:tcW w:w="1080" w:type="dxa"/>
            <w:vAlign w:val="bottom"/>
          </w:tcPr>
          <w:p>
            <w:pPr>
              <w:jc w:val="right"/>
              <w:ind w:right="300"/>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080" w:type="dxa"/>
            <w:vAlign w:val="bottom"/>
          </w:tcPr>
          <w:p>
            <w:pPr>
              <w:jc w:val="right"/>
              <w:ind w:right="30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080" w:type="dxa"/>
            <w:vAlign w:val="bottom"/>
          </w:tcPr>
          <w:p>
            <w:pPr>
              <w:jc w:val="right"/>
              <w:ind w:right="300"/>
              <w:spacing w:after="0"/>
              <w:rPr>
                <w:sz w:val="20"/>
                <w:szCs w:val="20"/>
                <w:color w:val="auto"/>
              </w:rPr>
            </w:pPr>
            <w:r>
              <w:rPr>
                <w:rFonts w:ascii="Arial" w:cs="Arial" w:eastAsia="Arial" w:hAnsi="Arial"/>
                <w:sz w:val="16"/>
                <w:szCs w:val="16"/>
                <w:b w:val="1"/>
                <w:bCs w:val="1"/>
                <w:color w:val="auto"/>
              </w:rPr>
              <w:t>2019</w:t>
            </w:r>
          </w:p>
        </w:tc>
      </w:tr>
      <w:tr>
        <w:trPr>
          <w:trHeight w:val="179"/>
        </w:trPr>
        <w:tc>
          <w:tcPr>
            <w:tcW w:w="98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w w:val="86"/>
              </w:rPr>
              <w:t>COP</w:t>
            </w:r>
          </w:p>
        </w:tc>
        <w:tc>
          <w:tcPr>
            <w:tcW w:w="220" w:type="dxa"/>
            <w:vAlign w:val="bottom"/>
          </w:tcPr>
          <w:p>
            <w:pPr>
              <w:spacing w:after="0"/>
              <w:rPr>
                <w:sz w:val="15"/>
                <w:szCs w:val="15"/>
                <w:color w:val="auto"/>
              </w:rPr>
            </w:pPr>
          </w:p>
        </w:tc>
        <w:tc>
          <w:tcPr>
            <w:tcW w:w="1520" w:type="dxa"/>
            <w:vAlign w:val="bottom"/>
            <w:tcBorders>
              <w:top w:val="single" w:sz="8" w:color="auto"/>
            </w:tcBorders>
            <w:gridSpan w:val="2"/>
          </w:tcPr>
          <w:p>
            <w:pPr>
              <w:jc w:val="center"/>
              <w:spacing w:after="0" w:line="179" w:lineRule="exact"/>
              <w:rPr>
                <w:sz w:val="20"/>
                <w:szCs w:val="20"/>
                <w:color w:val="auto"/>
              </w:rPr>
            </w:pPr>
            <w:r>
              <w:rPr>
                <w:rFonts w:ascii="Arial" w:cs="Arial" w:eastAsia="Arial" w:hAnsi="Arial"/>
                <w:sz w:val="16"/>
                <w:szCs w:val="16"/>
                <w:color w:val="auto"/>
                <w:w w:val="93"/>
              </w:rPr>
              <w:t>IBR+ 2.25%-5.0%</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191"/>
        </w:trPr>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(Variable)</w:t>
            </w:r>
          </w:p>
        </w:tc>
        <w:tc>
          <w:tcPr>
            <w:tcW w:w="1080" w:type="dxa"/>
            <w:vAlign w:val="bottom"/>
          </w:tcPr>
          <w:p>
            <w:pPr>
              <w:jc w:val="center"/>
              <w:ind w:left="20"/>
              <w:spacing w:after="0"/>
              <w:rPr>
                <w:sz w:val="20"/>
                <w:szCs w:val="20"/>
                <w:color w:val="auto"/>
              </w:rPr>
            </w:pPr>
            <w:r>
              <w:rPr>
                <w:rFonts w:ascii="Arial" w:cs="Arial" w:eastAsia="Arial" w:hAnsi="Arial"/>
                <w:sz w:val="16"/>
                <w:szCs w:val="16"/>
                <w:color w:val="auto"/>
                <w:w w:val="91"/>
              </w:rPr>
              <w:t>2022-2024</w:t>
            </w:r>
          </w:p>
        </w:tc>
        <w:tc>
          <w:tcPr>
            <w:tcW w:w="22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9,442</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12,205</w:t>
            </w:r>
          </w:p>
        </w:tc>
        <w:tc>
          <w:tcPr>
            <w:tcW w:w="1080" w:type="dxa"/>
            <w:vAlign w:val="bottom"/>
          </w:tcPr>
          <w:p>
            <w:pPr>
              <w:jc w:val="right"/>
              <w:spacing w:after="0"/>
              <w:rPr>
                <w:sz w:val="20"/>
                <w:szCs w:val="20"/>
                <w:color w:val="auto"/>
              </w:rPr>
            </w:pPr>
            <w:r>
              <w:rPr>
                <w:rFonts w:ascii="Arial" w:cs="Arial" w:eastAsia="Arial" w:hAnsi="Arial"/>
                <w:sz w:val="16"/>
                <w:szCs w:val="16"/>
                <w:color w:val="auto"/>
              </w:rPr>
              <w:t>9,939</w:t>
            </w:r>
          </w:p>
        </w:tc>
      </w:tr>
      <w:tr>
        <w:trPr>
          <w:trHeight w:val="191"/>
        </w:trPr>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COP</w:t>
            </w:r>
          </w:p>
        </w:tc>
        <w:tc>
          <w:tcPr>
            <w:tcW w:w="164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DTF + 6.74%</w:t>
            </w:r>
          </w:p>
        </w:tc>
        <w:tc>
          <w:tcPr>
            <w:tcW w:w="1080" w:type="dxa"/>
            <w:vAlign w:val="bottom"/>
          </w:tcPr>
          <w:p>
            <w:pPr>
              <w:jc w:val="center"/>
              <w:ind w:left="40"/>
              <w:spacing w:after="0"/>
              <w:rPr>
                <w:sz w:val="20"/>
                <w:szCs w:val="20"/>
                <w:color w:val="auto"/>
              </w:rPr>
            </w:pPr>
            <w:r>
              <w:rPr>
                <w:rFonts w:ascii="Arial" w:cs="Arial" w:eastAsia="Arial" w:hAnsi="Arial"/>
                <w:sz w:val="16"/>
                <w:szCs w:val="16"/>
                <w:color w:val="auto"/>
                <w:w w:val="89"/>
              </w:rPr>
              <w:t>2022</w:t>
            </w:r>
          </w:p>
        </w:tc>
        <w:tc>
          <w:tcPr>
            <w:tcW w:w="22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3,154</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6,161</w:t>
            </w:r>
          </w:p>
        </w:tc>
        <w:tc>
          <w:tcPr>
            <w:tcW w:w="1080" w:type="dxa"/>
            <w:vAlign w:val="bottom"/>
          </w:tcPr>
          <w:p>
            <w:pPr>
              <w:jc w:val="right"/>
              <w:spacing w:after="0"/>
              <w:rPr>
                <w:sz w:val="20"/>
                <w:szCs w:val="20"/>
                <w:color w:val="auto"/>
              </w:rPr>
            </w:pPr>
            <w:r>
              <w:rPr>
                <w:rFonts w:ascii="Arial" w:cs="Arial" w:eastAsia="Arial" w:hAnsi="Arial"/>
                <w:sz w:val="16"/>
                <w:szCs w:val="16"/>
                <w:color w:val="auto"/>
              </w:rPr>
              <w:t>6,904</w:t>
            </w:r>
          </w:p>
        </w:tc>
      </w:tr>
      <w:tr>
        <w:trPr>
          <w:trHeight w:val="191"/>
        </w:trPr>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COP</w:t>
            </w:r>
          </w:p>
        </w:tc>
        <w:tc>
          <w:tcPr>
            <w:tcW w:w="680" w:type="dxa"/>
            <w:vAlign w:val="bottom"/>
          </w:tcPr>
          <w:p>
            <w:pPr>
              <w:jc w:val="right"/>
              <w:spacing w:after="0"/>
              <w:rPr>
                <w:sz w:val="20"/>
                <w:szCs w:val="20"/>
                <w:color w:val="auto"/>
              </w:rPr>
            </w:pPr>
            <w:r>
              <w:rPr>
                <w:rFonts w:ascii="Arial" w:cs="Arial" w:eastAsia="Arial" w:hAnsi="Arial"/>
                <w:sz w:val="16"/>
                <w:szCs w:val="16"/>
                <w:color w:val="auto"/>
              </w:rPr>
              <w:t>24%</w:t>
            </w:r>
          </w:p>
        </w:tc>
        <w:tc>
          <w:tcPr>
            <w:tcW w:w="960" w:type="dxa"/>
            <w:vAlign w:val="bottom"/>
            <w:gridSpan w:val="2"/>
          </w:tcPr>
          <w:p>
            <w:pPr>
              <w:ind w:left="20"/>
              <w:spacing w:after="0"/>
              <w:rPr>
                <w:sz w:val="20"/>
                <w:szCs w:val="20"/>
                <w:color w:val="auto"/>
              </w:rPr>
            </w:pPr>
            <w:r>
              <w:rPr>
                <w:rFonts w:ascii="Arial" w:cs="Arial" w:eastAsia="Arial" w:hAnsi="Arial"/>
                <w:sz w:val="16"/>
                <w:szCs w:val="16"/>
                <w:color w:val="auto"/>
              </w:rPr>
              <w:t>(Fixed)</w:t>
            </w:r>
          </w:p>
        </w:tc>
        <w:tc>
          <w:tcPr>
            <w:tcW w:w="1080" w:type="dxa"/>
            <w:vAlign w:val="bottom"/>
          </w:tcPr>
          <w:p>
            <w:pPr>
              <w:jc w:val="center"/>
              <w:ind w:left="40"/>
              <w:spacing w:after="0"/>
              <w:rPr>
                <w:sz w:val="20"/>
                <w:szCs w:val="20"/>
                <w:color w:val="auto"/>
              </w:rPr>
            </w:pPr>
            <w:r>
              <w:rPr>
                <w:rFonts w:ascii="Arial" w:cs="Arial" w:eastAsia="Arial" w:hAnsi="Arial"/>
                <w:sz w:val="16"/>
                <w:szCs w:val="16"/>
                <w:color w:val="auto"/>
                <w:w w:val="89"/>
              </w:rPr>
              <w:t>2021</w:t>
            </w:r>
          </w:p>
        </w:tc>
        <w:tc>
          <w:tcPr>
            <w:tcW w:w="22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1,296</w:t>
            </w: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91"/>
        </w:trPr>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SOL</w:t>
            </w:r>
          </w:p>
        </w:tc>
        <w:tc>
          <w:tcPr>
            <w:tcW w:w="680" w:type="dxa"/>
            <w:vAlign w:val="bottom"/>
          </w:tcPr>
          <w:p>
            <w:pPr>
              <w:jc w:val="right"/>
              <w:spacing w:after="0"/>
              <w:rPr>
                <w:sz w:val="20"/>
                <w:szCs w:val="20"/>
                <w:color w:val="auto"/>
              </w:rPr>
            </w:pPr>
            <w:r>
              <w:rPr>
                <w:rFonts w:ascii="Arial" w:cs="Arial" w:eastAsia="Arial" w:hAnsi="Arial"/>
                <w:sz w:val="16"/>
                <w:szCs w:val="16"/>
                <w:color w:val="auto"/>
              </w:rPr>
              <w:t>5.00%</w:t>
            </w:r>
          </w:p>
        </w:tc>
        <w:tc>
          <w:tcPr>
            <w:tcW w:w="840" w:type="dxa"/>
            <w:vAlign w:val="bottom"/>
          </w:tcPr>
          <w:p>
            <w:pPr>
              <w:ind w:left="20"/>
              <w:spacing w:after="0"/>
              <w:rPr>
                <w:sz w:val="20"/>
                <w:szCs w:val="20"/>
                <w:color w:val="auto"/>
              </w:rPr>
            </w:pPr>
            <w:r>
              <w:rPr>
                <w:rFonts w:ascii="Arial" w:cs="Arial" w:eastAsia="Arial" w:hAnsi="Arial"/>
                <w:sz w:val="16"/>
                <w:szCs w:val="16"/>
                <w:color w:val="auto"/>
              </w:rPr>
              <w:t>- 10.01%</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6"/>
                <w:szCs w:val="16"/>
                <w:color w:val="auto"/>
                <w:w w:val="96"/>
              </w:rPr>
              <w:t>(Fixed)</w:t>
            </w:r>
          </w:p>
        </w:tc>
        <w:tc>
          <w:tcPr>
            <w:tcW w:w="1080" w:type="dxa"/>
            <w:vAlign w:val="bottom"/>
          </w:tcPr>
          <w:p>
            <w:pPr>
              <w:jc w:val="center"/>
              <w:ind w:left="20"/>
              <w:spacing w:after="0"/>
              <w:rPr>
                <w:sz w:val="20"/>
                <w:szCs w:val="20"/>
                <w:color w:val="auto"/>
              </w:rPr>
            </w:pPr>
            <w:r>
              <w:rPr>
                <w:rFonts w:ascii="Arial" w:cs="Arial" w:eastAsia="Arial" w:hAnsi="Arial"/>
                <w:sz w:val="16"/>
                <w:szCs w:val="16"/>
                <w:color w:val="auto"/>
                <w:w w:val="91"/>
              </w:rPr>
              <w:t>2021-2024</w:t>
            </w:r>
          </w:p>
        </w:tc>
        <w:tc>
          <w:tcPr>
            <w:tcW w:w="22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5,953</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7,499</w:t>
            </w:r>
          </w:p>
        </w:tc>
        <w:tc>
          <w:tcPr>
            <w:tcW w:w="1080" w:type="dxa"/>
            <w:vAlign w:val="bottom"/>
          </w:tcPr>
          <w:p>
            <w:pPr>
              <w:jc w:val="right"/>
              <w:spacing w:after="0"/>
              <w:rPr>
                <w:sz w:val="20"/>
                <w:szCs w:val="20"/>
                <w:color w:val="auto"/>
              </w:rPr>
            </w:pPr>
            <w:r>
              <w:rPr>
                <w:rFonts w:ascii="Arial" w:cs="Arial" w:eastAsia="Arial" w:hAnsi="Arial"/>
                <w:sz w:val="16"/>
                <w:szCs w:val="16"/>
                <w:color w:val="auto"/>
              </w:rPr>
              <w:t>4,392</w:t>
            </w:r>
          </w:p>
        </w:tc>
      </w:tr>
      <w:tr>
        <w:trPr>
          <w:trHeight w:val="191"/>
        </w:trPr>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REAIS</w:t>
            </w:r>
          </w:p>
        </w:tc>
        <w:tc>
          <w:tcPr>
            <w:tcW w:w="680" w:type="dxa"/>
            <w:vAlign w:val="bottom"/>
          </w:tcPr>
          <w:p>
            <w:pPr>
              <w:jc w:val="right"/>
              <w:spacing w:after="0"/>
              <w:rPr>
                <w:sz w:val="20"/>
                <w:szCs w:val="20"/>
                <w:color w:val="auto"/>
              </w:rPr>
            </w:pPr>
            <w:r>
              <w:rPr>
                <w:rFonts w:ascii="Arial" w:cs="Arial" w:eastAsia="Arial" w:hAnsi="Arial"/>
                <w:sz w:val="16"/>
                <w:szCs w:val="16"/>
                <w:color w:val="auto"/>
              </w:rPr>
              <w:t>9.84%</w:t>
            </w:r>
          </w:p>
        </w:tc>
        <w:tc>
          <w:tcPr>
            <w:tcW w:w="840" w:type="dxa"/>
            <w:vAlign w:val="bottom"/>
          </w:tcPr>
          <w:p>
            <w:pPr>
              <w:ind w:left="20"/>
              <w:spacing w:after="0"/>
              <w:rPr>
                <w:sz w:val="20"/>
                <w:szCs w:val="20"/>
                <w:color w:val="auto"/>
              </w:rPr>
            </w:pPr>
            <w:r>
              <w:rPr>
                <w:rFonts w:ascii="Arial" w:cs="Arial" w:eastAsia="Arial" w:hAnsi="Arial"/>
                <w:sz w:val="16"/>
                <w:szCs w:val="16"/>
                <w:color w:val="auto"/>
              </w:rPr>
              <w:t>- 13.08%</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6"/>
                <w:szCs w:val="16"/>
                <w:color w:val="auto"/>
                <w:w w:val="96"/>
              </w:rPr>
              <w:t>(Fixed)</w:t>
            </w:r>
          </w:p>
        </w:tc>
        <w:tc>
          <w:tcPr>
            <w:tcW w:w="1080" w:type="dxa"/>
            <w:vAlign w:val="bottom"/>
          </w:tcPr>
          <w:p>
            <w:pPr>
              <w:jc w:val="center"/>
              <w:ind w:left="20"/>
              <w:spacing w:after="0"/>
              <w:rPr>
                <w:sz w:val="20"/>
                <w:szCs w:val="20"/>
                <w:color w:val="auto"/>
              </w:rPr>
            </w:pPr>
            <w:r>
              <w:rPr>
                <w:rFonts w:ascii="Arial" w:cs="Arial" w:eastAsia="Arial" w:hAnsi="Arial"/>
                <w:sz w:val="16"/>
                <w:szCs w:val="16"/>
                <w:color w:val="auto"/>
                <w:w w:val="91"/>
              </w:rPr>
              <w:t>2021-2024</w:t>
            </w:r>
          </w:p>
        </w:tc>
        <w:tc>
          <w:tcPr>
            <w:tcW w:w="22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1,762</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7,436</w:t>
            </w:r>
          </w:p>
        </w:tc>
        <w:tc>
          <w:tcPr>
            <w:tcW w:w="1080" w:type="dxa"/>
            <w:vAlign w:val="bottom"/>
          </w:tcPr>
          <w:p>
            <w:pPr>
              <w:jc w:val="right"/>
              <w:spacing w:after="0"/>
              <w:rPr>
                <w:sz w:val="20"/>
                <w:szCs w:val="20"/>
                <w:color w:val="auto"/>
              </w:rPr>
            </w:pPr>
            <w:r>
              <w:rPr>
                <w:rFonts w:ascii="Arial" w:cs="Arial" w:eastAsia="Arial" w:hAnsi="Arial"/>
                <w:sz w:val="16"/>
                <w:szCs w:val="16"/>
                <w:color w:val="auto"/>
              </w:rPr>
              <w:t>1,633</w:t>
            </w:r>
          </w:p>
        </w:tc>
      </w:tr>
      <w:tr>
        <w:trPr>
          <w:trHeight w:val="191"/>
        </w:trPr>
        <w:tc>
          <w:tcPr>
            <w:tcW w:w="120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USD</w:t>
            </w:r>
          </w:p>
        </w:tc>
        <w:tc>
          <w:tcPr>
            <w:tcW w:w="164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Libor + 4.49%</w:t>
            </w:r>
          </w:p>
        </w:tc>
        <w:tc>
          <w:tcPr>
            <w:tcW w:w="1080" w:type="dxa"/>
            <w:vAlign w:val="bottom"/>
          </w:tcPr>
          <w:p>
            <w:pPr>
              <w:jc w:val="center"/>
              <w:ind w:left="40"/>
              <w:spacing w:after="0"/>
              <w:rPr>
                <w:sz w:val="20"/>
                <w:szCs w:val="20"/>
                <w:color w:val="auto"/>
              </w:rPr>
            </w:pPr>
            <w:r>
              <w:rPr>
                <w:rFonts w:ascii="Arial" w:cs="Arial" w:eastAsia="Arial" w:hAnsi="Arial"/>
                <w:sz w:val="16"/>
                <w:szCs w:val="16"/>
                <w:color w:val="auto"/>
                <w:w w:val="89"/>
              </w:rPr>
              <w:t>2022</w:t>
            </w:r>
          </w:p>
        </w:tc>
        <w:tc>
          <w:tcPr>
            <w:tcW w:w="22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739</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120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USD</w:t>
            </w:r>
          </w:p>
        </w:tc>
        <w:tc>
          <w:tcPr>
            <w:tcW w:w="164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Libor + 2.99% / 6.5% -</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8.7% (fixed)</w:t>
            </w:r>
          </w:p>
        </w:tc>
        <w:tc>
          <w:tcPr>
            <w:tcW w:w="1080" w:type="dxa"/>
            <w:vAlign w:val="bottom"/>
          </w:tcPr>
          <w:p>
            <w:pPr>
              <w:jc w:val="center"/>
              <w:ind w:left="20"/>
              <w:spacing w:after="0"/>
              <w:rPr>
                <w:sz w:val="20"/>
                <w:szCs w:val="20"/>
                <w:color w:val="auto"/>
              </w:rPr>
            </w:pPr>
            <w:r>
              <w:rPr>
                <w:rFonts w:ascii="Arial" w:cs="Arial" w:eastAsia="Arial" w:hAnsi="Arial"/>
                <w:sz w:val="16"/>
                <w:szCs w:val="16"/>
                <w:color w:val="auto"/>
                <w:w w:val="91"/>
              </w:rPr>
              <w:t>2022-2024</w:t>
            </w:r>
          </w:p>
        </w:tc>
        <w:tc>
          <w:tcPr>
            <w:tcW w:w="22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16,145</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40,808</w:t>
            </w:r>
          </w:p>
        </w:tc>
        <w:tc>
          <w:tcPr>
            <w:tcW w:w="1080" w:type="dxa"/>
            <w:vAlign w:val="bottom"/>
          </w:tcPr>
          <w:p>
            <w:pPr>
              <w:jc w:val="right"/>
              <w:spacing w:after="0"/>
              <w:rPr>
                <w:sz w:val="20"/>
                <w:szCs w:val="20"/>
                <w:color w:val="auto"/>
              </w:rPr>
            </w:pPr>
            <w:r>
              <w:rPr>
                <w:rFonts w:ascii="Arial" w:cs="Arial" w:eastAsia="Arial" w:hAnsi="Arial"/>
                <w:sz w:val="16"/>
                <w:szCs w:val="16"/>
                <w:color w:val="auto"/>
              </w:rPr>
              <w:t>43,827</w:t>
            </w:r>
          </w:p>
        </w:tc>
      </w:tr>
      <w:tr>
        <w:trPr>
          <w:trHeight w:val="220"/>
        </w:trPr>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COP</w:t>
            </w:r>
          </w:p>
        </w:tc>
        <w:tc>
          <w:tcPr>
            <w:tcW w:w="1520" w:type="dxa"/>
            <w:vAlign w:val="bottom"/>
            <w:gridSpan w:val="2"/>
          </w:tcPr>
          <w:p>
            <w:pPr>
              <w:jc w:val="center"/>
              <w:spacing w:after="0"/>
              <w:rPr>
                <w:sz w:val="20"/>
                <w:szCs w:val="20"/>
                <w:color w:val="auto"/>
              </w:rPr>
            </w:pPr>
            <w:r>
              <w:rPr>
                <w:rFonts w:ascii="Arial" w:cs="Arial" w:eastAsia="Arial" w:hAnsi="Arial"/>
                <w:sz w:val="16"/>
                <w:szCs w:val="16"/>
                <w:color w:val="auto"/>
                <w:w w:val="91"/>
              </w:rPr>
              <w:t>10.00% -30.00%</w:t>
            </w:r>
          </w:p>
        </w:tc>
        <w:tc>
          <w:tcPr>
            <w:tcW w:w="120" w:type="dxa"/>
            <w:vAlign w:val="bottom"/>
          </w:tcPr>
          <w:p>
            <w:pPr>
              <w:spacing w:after="0"/>
              <w:rPr>
                <w:sz w:val="19"/>
                <w:szCs w:val="19"/>
                <w:color w:val="auto"/>
              </w:rPr>
            </w:pPr>
          </w:p>
        </w:tc>
        <w:tc>
          <w:tcPr>
            <w:tcW w:w="1080" w:type="dxa"/>
            <w:vAlign w:val="bottom"/>
          </w:tcPr>
          <w:p>
            <w:pPr>
              <w:jc w:val="center"/>
              <w:ind w:left="40"/>
              <w:spacing w:after="0"/>
              <w:rPr>
                <w:sz w:val="20"/>
                <w:szCs w:val="20"/>
                <w:color w:val="auto"/>
              </w:rPr>
            </w:pPr>
            <w:r>
              <w:rPr>
                <w:rFonts w:ascii="Arial" w:cs="Arial" w:eastAsia="Arial" w:hAnsi="Arial"/>
                <w:sz w:val="16"/>
                <w:szCs w:val="16"/>
                <w:color w:val="auto"/>
                <w:w w:val="89"/>
              </w:rPr>
              <w:t>2022</w:t>
            </w:r>
          </w:p>
        </w:tc>
        <w:tc>
          <w:tcPr>
            <w:tcW w:w="2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14,398</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10,240</w:t>
            </w:r>
          </w:p>
        </w:tc>
        <w:tc>
          <w:tcPr>
            <w:tcW w:w="1080" w:type="dxa"/>
            <w:vAlign w:val="bottom"/>
          </w:tcPr>
          <w:p>
            <w:pPr>
              <w:jc w:val="right"/>
              <w:spacing w:after="0"/>
              <w:rPr>
                <w:sz w:val="20"/>
                <w:szCs w:val="20"/>
                <w:color w:val="auto"/>
              </w:rPr>
            </w:pPr>
            <w:r>
              <w:rPr>
                <w:rFonts w:ascii="Arial" w:cs="Arial" w:eastAsia="Arial" w:hAnsi="Arial"/>
                <w:sz w:val="16"/>
                <w:szCs w:val="16"/>
                <w:color w:val="auto"/>
              </w:rPr>
              <w:t>8,301</w:t>
            </w:r>
          </w:p>
        </w:tc>
      </w:tr>
      <w:tr>
        <w:trPr>
          <w:trHeight w:val="195"/>
        </w:trPr>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51,593</w:t>
            </w:r>
          </w:p>
        </w:tc>
        <w:tc>
          <w:tcPr>
            <w:tcW w:w="2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85,645</w:t>
            </w:r>
          </w:p>
        </w:tc>
        <w:tc>
          <w:tcPr>
            <w:tcW w:w="22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-1623060</wp:posOffset>
            </wp:positionV>
            <wp:extent cx="7148195" cy="2501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148195" cy="25019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-1251585</wp:posOffset>
            </wp:positionV>
            <wp:extent cx="7148195" cy="1212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-887095</wp:posOffset>
            </wp:positionV>
            <wp:extent cx="7148195" cy="2425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148195" cy="24257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-523240</wp:posOffset>
            </wp:positionV>
            <wp:extent cx="7148195" cy="2425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148195" cy="24257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-143510</wp:posOffset>
            </wp:positionV>
            <wp:extent cx="7148195" cy="1365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4" w:space="720"/>
            <w:col w:w="7800"/>
          </w:cols>
          <w:pgMar w:left="316" w:top="792" w:right="439" w:bottom="1440" w:gutter="0" w:footer="0" w:header="0"/>
          <w:type w:val="continuous"/>
        </w:sectPr>
      </w:pPr>
    </w:p>
    <w:p>
      <w:pPr>
        <w:spacing w:after="0" w:line="170" w:lineRule="exact"/>
        <w:rPr>
          <w:sz w:val="20"/>
          <w:szCs w:val="20"/>
          <w:color w:val="auto"/>
        </w:rPr>
      </w:pPr>
    </w:p>
    <w:p>
      <w:pPr>
        <w:jc w:val="center"/>
        <w:ind w:right="-123"/>
        <w:spacing w:after="0"/>
        <w:rPr>
          <w:sz w:val="20"/>
          <w:szCs w:val="20"/>
          <w:color w:val="auto"/>
        </w:rPr>
      </w:pPr>
      <w:r>
        <w:rPr>
          <w:rFonts w:ascii="Arial" w:cs="Arial" w:eastAsia="Arial" w:hAnsi="Arial"/>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819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44"/>
          </w:cols>
          <w:pgMar w:left="316" w:top="792" w:right="439" w:bottom="1440" w:gutter="0" w:footer="0" w:header="0"/>
          <w:type w:val="continuous"/>
        </w:sectPr>
      </w:pPr>
    </w:p>
    <w:bookmarkStart w:id="180" w:name="page181"/>
    <w:bookmarkEnd w:id="1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4" w:hanging="164"/>
        <w:spacing w:after="0"/>
        <w:tabs>
          <w:tab w:leader="none" w:pos="164" w:val="left"/>
        </w:tabs>
        <w:numPr>
          <w:ilvl w:val="0"/>
          <w:numId w:val="96"/>
        </w:numPr>
        <w:rPr>
          <w:rFonts w:ascii="Arial" w:cs="Arial" w:eastAsia="Arial" w:hAnsi="Arial"/>
          <w:sz w:val="16"/>
          <w:szCs w:val="16"/>
          <w:i w:val="1"/>
          <w:iCs w:val="1"/>
          <w:color w:val="auto"/>
        </w:rPr>
      </w:pPr>
      <w:r>
        <w:rPr>
          <w:rFonts w:ascii="Arial" w:cs="Arial" w:eastAsia="Arial" w:hAnsi="Arial"/>
          <w:sz w:val="16"/>
          <w:szCs w:val="16"/>
          <w:i w:val="1"/>
          <w:iCs w:val="1"/>
          <w:color w:val="auto"/>
        </w:rPr>
        <w:t>Lease liabilities</w:t>
      </w:r>
    </w:p>
    <w:p>
      <w:pPr>
        <w:spacing w:after="0" w:line="200" w:lineRule="exact"/>
        <w:rPr>
          <w:rFonts w:ascii="Arial" w:cs="Arial" w:eastAsia="Arial" w:hAnsi="Arial"/>
          <w:sz w:val="16"/>
          <w:szCs w:val="16"/>
          <w:i w:val="1"/>
          <w:iCs w:val="1"/>
          <w:color w:val="auto"/>
        </w:rPr>
      </w:pPr>
    </w:p>
    <w:p>
      <w:pPr>
        <w:spacing w:after="0" w:line="392" w:lineRule="exact"/>
        <w:rPr>
          <w:rFonts w:ascii="Arial" w:cs="Arial" w:eastAsia="Arial" w:hAnsi="Arial"/>
          <w:sz w:val="16"/>
          <w:szCs w:val="16"/>
          <w:i w:val="1"/>
          <w:iCs w:val="1"/>
          <w:color w:val="auto"/>
        </w:rPr>
      </w:pPr>
    </w:p>
    <w:p>
      <w:pPr>
        <w:ind w:left="144"/>
        <w:spacing w:after="0"/>
        <w:rPr>
          <w:rFonts w:ascii="Arial" w:cs="Arial" w:eastAsia="Arial" w:hAnsi="Arial"/>
          <w:sz w:val="16"/>
          <w:szCs w:val="16"/>
          <w:i w:val="1"/>
          <w:iCs w:val="1"/>
          <w:color w:val="auto"/>
        </w:rPr>
      </w:pPr>
      <w:r>
        <w:rPr>
          <w:rFonts w:ascii="Arial" w:cs="Arial" w:eastAsia="Arial" w:hAnsi="Arial"/>
          <w:sz w:val="16"/>
          <w:szCs w:val="16"/>
          <w:color w:val="auto"/>
        </w:rPr>
        <w:t>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
        <w:spacing w:after="0"/>
        <w:rPr>
          <w:sz w:val="20"/>
          <w:szCs w:val="20"/>
          <w:color w:val="auto"/>
        </w:rPr>
      </w:pPr>
      <w:r>
        <w:rPr>
          <w:rFonts w:ascii="Arial" w:cs="Arial" w:eastAsia="Arial" w:hAnsi="Arial"/>
          <w:sz w:val="15"/>
          <w:szCs w:val="15"/>
          <w:b w:val="1"/>
          <w:bCs w:val="1"/>
          <w:color w:val="auto"/>
        </w:rPr>
        <w:t>Total Lease liabilities</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4. Factoring obligations</w:t>
      </w:r>
    </w:p>
    <w:p>
      <w:pPr>
        <w:spacing w:after="0" w:line="20" w:lineRule="exact"/>
        <w:rPr>
          <w:sz w:val="20"/>
          <w:szCs w:val="20"/>
          <w:color w:val="auto"/>
        </w:rPr>
      </w:pPr>
      <w:r>
        <w:rPr>
          <w:sz w:val="20"/>
          <w:szCs w:val="20"/>
          <w:color w:val="auto"/>
        </w:rPr>
        <w:br w:type="column"/>
      </w:r>
    </w:p>
    <w:p>
      <w:pPr>
        <w:jc w:val="center"/>
        <w:ind w:right="3280"/>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2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28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280"/>
        <w:spacing w:after="0"/>
        <w:rPr>
          <w:sz w:val="20"/>
          <w:szCs w:val="20"/>
          <w:color w:val="auto"/>
        </w:rPr>
      </w:pPr>
      <w:r>
        <w:rPr>
          <w:rFonts w:ascii="Arial" w:cs="Arial" w:eastAsia="Arial" w:hAnsi="Arial"/>
          <w:sz w:val="15"/>
          <w:szCs w:val="15"/>
          <w:b w:val="1"/>
          <w:bCs w:val="1"/>
          <w:color w:val="auto"/>
        </w:rPr>
        <w:t>(In thousands of United States Dollars, unless otherwise stated)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Maturity</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2"/>
        </w:trPr>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Currency</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Range of Interest</w:t>
            </w: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Year</w:t>
            </w:r>
          </w:p>
        </w:tc>
        <w:tc>
          <w:tcPr>
            <w:tcW w:w="1060" w:type="dxa"/>
            <w:vAlign w:val="bottom"/>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1060" w:type="dxa"/>
            <w:vAlign w:val="bottom"/>
          </w:tcPr>
          <w:p>
            <w:pPr>
              <w:jc w:val="right"/>
              <w:ind w:right="28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060" w:type="dxa"/>
            <w:vAlign w:val="bottom"/>
          </w:tcPr>
          <w:p>
            <w:pPr>
              <w:jc w:val="right"/>
              <w:ind w:right="280"/>
              <w:spacing w:after="0"/>
              <w:rPr>
                <w:sz w:val="20"/>
                <w:szCs w:val="20"/>
                <w:color w:val="auto"/>
              </w:rPr>
            </w:pPr>
            <w:r>
              <w:rPr>
                <w:rFonts w:ascii="Arial" w:cs="Arial" w:eastAsia="Arial" w:hAnsi="Arial"/>
                <w:sz w:val="16"/>
                <w:szCs w:val="16"/>
                <w:b w:val="1"/>
                <w:bCs w:val="1"/>
                <w:color w:val="auto"/>
              </w:rPr>
              <w:t>2019</w:t>
            </w:r>
          </w:p>
        </w:tc>
      </w:tr>
      <w:tr>
        <w:trPr>
          <w:trHeight w:val="179"/>
        </w:trPr>
        <w:tc>
          <w:tcPr>
            <w:tcW w:w="96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w w:val="92"/>
              </w:rPr>
              <w:t>COP</w:t>
            </w:r>
          </w:p>
        </w:tc>
        <w:tc>
          <w:tcPr>
            <w:tcW w:w="220" w:type="dxa"/>
            <w:vAlign w:val="bottom"/>
          </w:tcPr>
          <w:p>
            <w:pPr>
              <w:spacing w:after="0"/>
              <w:rPr>
                <w:sz w:val="15"/>
                <w:szCs w:val="15"/>
                <w:color w:val="auto"/>
              </w:rPr>
            </w:pPr>
          </w:p>
        </w:tc>
        <w:tc>
          <w:tcPr>
            <w:tcW w:w="170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w w:val="92"/>
              </w:rPr>
              <w:t>DTF +5.18% - DTF</w:t>
            </w: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191"/>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10.11% T.A. IBR + 7.50%</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2030</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10,334</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15,945</w:t>
            </w:r>
          </w:p>
        </w:tc>
        <w:tc>
          <w:tcPr>
            <w:tcW w:w="1060" w:type="dxa"/>
            <w:vAlign w:val="bottom"/>
          </w:tcPr>
          <w:p>
            <w:pPr>
              <w:jc w:val="right"/>
              <w:spacing w:after="0"/>
              <w:rPr>
                <w:sz w:val="20"/>
                <w:szCs w:val="20"/>
                <w:color w:val="auto"/>
              </w:rPr>
            </w:pPr>
            <w:r>
              <w:rPr>
                <w:rFonts w:ascii="Arial" w:cs="Arial" w:eastAsia="Arial" w:hAnsi="Arial"/>
                <w:sz w:val="16"/>
                <w:szCs w:val="16"/>
                <w:color w:val="auto"/>
              </w:rPr>
              <w:t>15,164</w:t>
            </w:r>
          </w:p>
        </w:tc>
      </w:tr>
      <w:tr>
        <w:trPr>
          <w:trHeight w:val="191"/>
        </w:trPr>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COP</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DTF+ 4.54% + DTF</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8.5%T.A. + DTF+10.42%</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6,662</w:t>
            </w:r>
          </w:p>
        </w:tc>
        <w:tc>
          <w:tcPr>
            <w:tcW w:w="1060" w:type="dxa"/>
            <w:vAlign w:val="bottom"/>
          </w:tcPr>
          <w:p>
            <w:pPr>
              <w:jc w:val="right"/>
              <w:spacing w:after="0"/>
              <w:rPr>
                <w:sz w:val="20"/>
                <w:szCs w:val="20"/>
                <w:color w:val="auto"/>
              </w:rPr>
            </w:pPr>
            <w:r>
              <w:rPr>
                <w:rFonts w:ascii="Arial" w:cs="Arial" w:eastAsia="Arial" w:hAnsi="Arial"/>
                <w:sz w:val="16"/>
                <w:szCs w:val="16"/>
                <w:color w:val="auto"/>
              </w:rPr>
              <w:t>7,524</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6,930</w:t>
            </w:r>
          </w:p>
        </w:tc>
      </w:tr>
      <w:tr>
        <w:trPr>
          <w:trHeight w:val="191"/>
        </w:trPr>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COP</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DTF+17% /</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(DTF+13.72%)</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676</w:t>
            </w:r>
          </w:p>
        </w:tc>
        <w:tc>
          <w:tcPr>
            <w:tcW w:w="1060" w:type="dxa"/>
            <w:vAlign w:val="bottom"/>
          </w:tcPr>
          <w:p>
            <w:pPr>
              <w:jc w:val="right"/>
              <w:spacing w:after="0"/>
              <w:rPr>
                <w:sz w:val="20"/>
                <w:szCs w:val="20"/>
                <w:color w:val="auto"/>
              </w:rPr>
            </w:pPr>
            <w:r>
              <w:rPr>
                <w:rFonts w:ascii="Arial" w:cs="Arial" w:eastAsia="Arial" w:hAnsi="Arial"/>
                <w:sz w:val="16"/>
                <w:szCs w:val="16"/>
                <w:color w:val="auto"/>
              </w:rPr>
              <w:t>706</w:t>
            </w:r>
          </w:p>
        </w:tc>
      </w:tr>
      <w:tr>
        <w:trPr>
          <w:trHeight w:val="191"/>
        </w:trPr>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USD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14.70% E.A.</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740</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USD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9.28% T.A.</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191"/>
        </w:trPr>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USD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9.75% N.M.</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103</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COP</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8.29% - 21.48% E.A.</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14,689</w:t>
            </w:r>
          </w:p>
        </w:tc>
        <w:tc>
          <w:tcPr>
            <w:tcW w:w="1060" w:type="dxa"/>
            <w:vAlign w:val="bottom"/>
          </w:tcPr>
          <w:p>
            <w:pPr>
              <w:jc w:val="right"/>
              <w:spacing w:after="0"/>
              <w:rPr>
                <w:sz w:val="20"/>
                <w:szCs w:val="20"/>
                <w:color w:val="auto"/>
              </w:rPr>
            </w:pPr>
            <w:r>
              <w:rPr>
                <w:rFonts w:ascii="Arial" w:cs="Arial" w:eastAsia="Arial" w:hAnsi="Arial"/>
                <w:sz w:val="16"/>
                <w:szCs w:val="16"/>
                <w:color w:val="auto"/>
              </w:rPr>
              <w:t>11,591</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6,422</w:t>
            </w:r>
          </w:p>
        </w:tc>
      </w:tr>
      <w:tr>
        <w:trPr>
          <w:trHeight w:val="220"/>
        </w:trPr>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Reales</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1.68% (Fixed)</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62</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134</w:t>
            </w:r>
          </w:p>
        </w:tc>
        <w:tc>
          <w:tcPr>
            <w:tcW w:w="106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195"/>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31,747</w:t>
            </w:r>
          </w:p>
        </w:tc>
        <w:tc>
          <w:tcPr>
            <w:tcW w:w="22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36,799</w:t>
            </w:r>
          </w:p>
        </w:tc>
        <w:tc>
          <w:tcPr>
            <w:tcW w:w="22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29,794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-1501775</wp:posOffset>
            </wp:positionV>
            <wp:extent cx="7148195" cy="2501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148195" cy="250190"/>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-1008380</wp:posOffset>
            </wp:positionV>
            <wp:extent cx="7148195" cy="2425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148195" cy="242570"/>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-644525</wp:posOffset>
            </wp:positionV>
            <wp:extent cx="7148195" cy="1212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-401320</wp:posOffset>
            </wp:positionV>
            <wp:extent cx="7148195" cy="1212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-143510</wp:posOffset>
            </wp:positionV>
            <wp:extent cx="7148195" cy="1365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539" w:lineRule="exact"/>
        <w:rPr>
          <w:sz w:val="20"/>
          <w:szCs w:val="20"/>
          <w:color w:val="auto"/>
        </w:rPr>
      </w:pPr>
    </w:p>
    <w:p>
      <w:pPr>
        <w:sectPr>
          <w:pgSz w:w="11900" w:h="16838" w:orient="portrait"/>
          <w:cols w:equalWidth="0" w:num="2">
            <w:col w:w="2544" w:space="720"/>
            <w:col w:w="8000"/>
          </w:cols>
          <w:pgMar w:left="316" w:top="792" w:right="319" w:bottom="1440" w:gutter="0" w:footer="0" w:header="0"/>
        </w:sectPr>
      </w:pPr>
    </w:p>
    <w:p>
      <w:pPr>
        <w:spacing w:after="0" w:line="17"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Maturity</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4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Range of Interest</w:t>
            </w: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Year</w:t>
            </w:r>
          </w:p>
        </w:tc>
        <w:tc>
          <w:tcPr>
            <w:tcW w:w="112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12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gridSpan w:val="2"/>
            <w:shd w:val="clear" w:color="auto" w:fill="CCEEFF"/>
          </w:tcPr>
          <w:p>
            <w:pPr>
              <w:jc w:val="right"/>
              <w:ind w:right="80"/>
              <w:spacing w:after="0" w:line="179" w:lineRule="exact"/>
              <w:rPr>
                <w:sz w:val="20"/>
                <w:szCs w:val="20"/>
                <w:color w:val="auto"/>
              </w:rPr>
            </w:pPr>
            <w:r>
              <w:rPr>
                <w:rFonts w:ascii="Arial" w:cs="Arial" w:eastAsia="Arial" w:hAnsi="Arial"/>
                <w:sz w:val="16"/>
                <w:szCs w:val="16"/>
                <w:color w:val="auto"/>
                <w:w w:val="93"/>
              </w:rPr>
              <w:t>DTF+8% / 24.6%</w:t>
            </w: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10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Portfolio factoring</w:t>
            </w:r>
          </w:p>
        </w:tc>
        <w:tc>
          <w:tcPr>
            <w:tcW w:w="1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86"/>
              </w:rPr>
              <w:t>COP</w:t>
            </w:r>
          </w:p>
        </w:tc>
        <w:tc>
          <w:tcPr>
            <w:tcW w:w="1420" w:type="dxa"/>
            <w:vAlign w:val="bottom"/>
            <w:tcBorders>
              <w:right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2"/>
              </w:rPr>
              <w:t>(Fixed)</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220" w:type="dxa"/>
            <w:vAlign w:val="bottom"/>
            <w:tcBorders>
              <w:right w:val="single" w:sz="8" w:color="CCEEFF"/>
            </w:tcBorders>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1,383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8,074</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4,731</w:t>
            </w:r>
          </w:p>
        </w:tc>
        <w:tc>
          <w:tcPr>
            <w:tcW w:w="0" w:type="dxa"/>
            <w:vAlign w:val="bottom"/>
          </w:tcPr>
          <w:p>
            <w:pPr>
              <w:spacing w:after="0"/>
              <w:rPr>
                <w:sz w:val="1"/>
                <w:szCs w:val="1"/>
                <w:color w:val="auto"/>
              </w:rPr>
            </w:pPr>
          </w:p>
        </w:tc>
      </w:tr>
      <w:tr>
        <w:trPr>
          <w:trHeight w:val="191"/>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color w:val="auto"/>
                <w:w w:val="84"/>
              </w:rPr>
              <w:t>Reales</w:t>
            </w:r>
          </w:p>
        </w:tc>
        <w:tc>
          <w:tcPr>
            <w:tcW w:w="142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12% (Fixed)</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22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5,679</w:t>
            </w:r>
          </w:p>
        </w:tc>
        <w:tc>
          <w:tcPr>
            <w:tcW w:w="0" w:type="dxa"/>
            <w:vAlign w:val="bottom"/>
          </w:tcPr>
          <w:p>
            <w:pPr>
              <w:spacing w:after="0"/>
              <w:rPr>
                <w:sz w:val="1"/>
                <w:szCs w:val="1"/>
                <w:color w:val="auto"/>
              </w:rPr>
            </w:pPr>
          </w:p>
        </w:tc>
      </w:tr>
      <w:tr>
        <w:trPr>
          <w:trHeight w:val="179"/>
        </w:trPr>
        <w:tc>
          <w:tcPr>
            <w:tcW w:w="3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tcBorders>
              <w:right w:val="single" w:sz="8" w:color="CCEEFF"/>
            </w:tcBorders>
            <w:gridSpan w:val="3"/>
            <w:shd w:val="clear" w:color="auto" w:fill="CCEEFF"/>
          </w:tcPr>
          <w:p>
            <w:pPr>
              <w:jc w:val="center"/>
              <w:ind w:right="180"/>
              <w:spacing w:after="0" w:line="179" w:lineRule="exact"/>
              <w:rPr>
                <w:sz w:val="20"/>
                <w:szCs w:val="20"/>
                <w:color w:val="auto"/>
              </w:rPr>
            </w:pPr>
            <w:r>
              <w:rPr>
                <w:rFonts w:ascii="Arial" w:cs="Arial" w:eastAsia="Arial" w:hAnsi="Arial"/>
                <w:sz w:val="16"/>
                <w:szCs w:val="16"/>
                <w:color w:val="auto"/>
                <w:w w:val="99"/>
              </w:rPr>
              <w:t>DTF+8% /</w:t>
            </w:r>
          </w:p>
        </w:tc>
        <w:tc>
          <w:tcPr>
            <w:tcW w:w="110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86"/>
              </w:rPr>
              <w:t>COP</w:t>
            </w:r>
          </w:p>
        </w:tc>
        <w:tc>
          <w:tcPr>
            <w:tcW w:w="1420" w:type="dxa"/>
            <w:vAlign w:val="bottom"/>
            <w:tcBorders>
              <w:right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6"/>
              </w:rPr>
              <w:t>24.6% (Fixed)</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220" w:type="dxa"/>
            <w:vAlign w:val="bottom"/>
            <w:tcBorders>
              <w:right w:val="single" w:sz="8" w:color="CCEEFF"/>
            </w:tcBorders>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9,226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1,517</w:t>
            </w:r>
          </w:p>
        </w:tc>
        <w:tc>
          <w:tcPr>
            <w:tcW w:w="0" w:type="dxa"/>
            <w:vAlign w:val="bottom"/>
          </w:tcPr>
          <w:p>
            <w:pPr>
              <w:spacing w:after="0"/>
              <w:rPr>
                <w:sz w:val="1"/>
                <w:szCs w:val="1"/>
                <w:color w:val="auto"/>
              </w:rPr>
            </w:pPr>
          </w:p>
        </w:tc>
      </w:tr>
      <w:tr>
        <w:trPr>
          <w:trHeight w:val="179"/>
        </w:trPr>
        <w:tc>
          <w:tcPr>
            <w:tcW w:w="3260" w:type="dxa"/>
            <w:vAlign w:val="bottom"/>
            <w:tcBorders>
              <w:top w:val="single" w:sz="8" w:color="CCEEFF"/>
            </w:tcBorders>
          </w:tcPr>
          <w:p>
            <w:pPr>
              <w:ind w:left="40"/>
              <w:spacing w:after="0" w:line="175" w:lineRule="exact"/>
              <w:rPr>
                <w:sz w:val="20"/>
                <w:szCs w:val="20"/>
                <w:color w:val="auto"/>
              </w:rPr>
            </w:pPr>
            <w:r>
              <w:rPr>
                <w:rFonts w:ascii="Arial" w:cs="Arial" w:eastAsia="Arial" w:hAnsi="Arial"/>
                <w:sz w:val="16"/>
                <w:szCs w:val="16"/>
                <w:b w:val="1"/>
                <w:bCs w:val="1"/>
                <w:color w:val="auto"/>
              </w:rPr>
              <w:t>Total Factoring</w:t>
            </w:r>
          </w:p>
        </w:tc>
        <w:tc>
          <w:tcPr>
            <w:tcW w:w="12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10,609</w:t>
            </w: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9,993</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11,927</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3260" w:type="dxa"/>
            <w:vAlign w:val="bottom"/>
          </w:tcPr>
          <w:p>
            <w:pPr>
              <w:spacing w:after="0"/>
              <w:rPr>
                <w:sz w:val="20"/>
                <w:szCs w:val="20"/>
                <w:color w:val="auto"/>
              </w:rPr>
            </w:pPr>
            <w:r>
              <w:rPr>
                <w:rFonts w:ascii="Arial" w:cs="Arial" w:eastAsia="Arial" w:hAnsi="Arial"/>
                <w:sz w:val="16"/>
                <w:szCs w:val="16"/>
                <w:i w:val="1"/>
                <w:iCs w:val="1"/>
                <w:color w:val="auto"/>
              </w:rPr>
              <w:t>5. Put option agreement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Maturity</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Currency</w:t>
            </w:r>
          </w:p>
        </w:tc>
        <w:tc>
          <w:tcPr>
            <w:tcW w:w="240" w:type="dxa"/>
            <w:vAlign w:val="bottom"/>
            <w:gridSpan w:val="2"/>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87"/>
              </w:rPr>
              <w:t>Range of Interest</w:t>
            </w: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Year</w:t>
            </w:r>
          </w:p>
        </w:tc>
        <w:tc>
          <w:tcPr>
            <w:tcW w:w="112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12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2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IFC</w:t>
            </w:r>
          </w:p>
        </w:tc>
        <w:tc>
          <w:tcPr>
            <w:tcW w:w="120" w:type="dxa"/>
            <w:vAlign w:val="bottom"/>
            <w:vMerge w:val="restart"/>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gridSpan w:val="2"/>
            <w:vMerge w:val="restart"/>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Borders>
              <w:right w:val="single" w:sz="8" w:color="CCEEFF"/>
            </w:tcBorders>
            <w:gridSpan w:val="2"/>
            <w:shd w:val="clear" w:color="auto" w:fill="CCEEFF"/>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26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USD</w:t>
            </w:r>
          </w:p>
        </w:tc>
        <w:tc>
          <w:tcPr>
            <w:tcW w:w="240" w:type="dxa"/>
            <w:vAlign w:val="bottom"/>
            <w:gridSpan w:val="2"/>
            <w:vMerge w:val="continue"/>
            <w:shd w:val="clear" w:color="auto" w:fill="CCEEFF"/>
          </w:tcPr>
          <w:p>
            <w:pPr>
              <w:spacing w:after="0"/>
              <w:rPr>
                <w:sz w:val="16"/>
                <w:szCs w:val="16"/>
                <w:color w:val="auto"/>
              </w:rPr>
            </w:pPr>
          </w:p>
        </w:tc>
        <w:tc>
          <w:tcPr>
            <w:tcW w:w="14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100" w:type="dxa"/>
            <w:vAlign w:val="bottom"/>
            <w:tcBorders>
              <w:right w:val="single" w:sz="8" w:color="CCEEFF"/>
            </w:tcBorders>
            <w:shd w:val="clear" w:color="auto" w:fill="CCEEFF"/>
          </w:tcPr>
          <w:p>
            <w:pPr>
              <w:jc w:val="right"/>
              <w:ind w:right="260"/>
              <w:spacing w:after="0"/>
              <w:rPr>
                <w:sz w:val="20"/>
                <w:szCs w:val="20"/>
                <w:color w:val="auto"/>
              </w:rPr>
            </w:pPr>
            <w:r>
              <w:rPr>
                <w:rFonts w:ascii="Arial" w:cs="Arial" w:eastAsia="Arial" w:hAnsi="Arial"/>
                <w:sz w:val="16"/>
                <w:szCs w:val="16"/>
                <w:color w:val="auto"/>
              </w:rPr>
              <w:t>2028</w:t>
            </w:r>
          </w:p>
        </w:tc>
        <w:tc>
          <w:tcPr>
            <w:tcW w:w="220" w:type="dxa"/>
            <w:vAlign w:val="bottom"/>
            <w:tcBorders>
              <w:right w:val="single" w:sz="8" w:color="CCEEFF"/>
            </w:tcBorders>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vMerge w:val="continue"/>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127,821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112,263</w:t>
            </w:r>
          </w:p>
        </w:tc>
        <w:tc>
          <w:tcPr>
            <w:tcW w:w="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60" w:type="dxa"/>
            <w:vAlign w:val="bottom"/>
          </w:tcPr>
          <w:p>
            <w:pPr>
              <w:ind w:left="140"/>
              <w:spacing w:after="0"/>
              <w:rPr>
                <w:sz w:val="20"/>
                <w:szCs w:val="20"/>
                <w:color w:val="auto"/>
              </w:rPr>
            </w:pPr>
            <w:r>
              <w:rPr>
                <w:rFonts w:ascii="Arial" w:cs="Arial" w:eastAsia="Arial" w:hAnsi="Arial"/>
                <w:sz w:val="16"/>
                <w:szCs w:val="16"/>
                <w:color w:val="auto"/>
              </w:rPr>
              <w:t>Hoche</w:t>
            </w:r>
          </w:p>
        </w:tc>
        <w:tc>
          <w:tcPr>
            <w:tcW w:w="12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6"/>
                <w:szCs w:val="16"/>
                <w:color w:val="auto"/>
                <w:w w:val="94"/>
              </w:rPr>
              <w:t>USD</w:t>
            </w: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12%</w:t>
            </w:r>
          </w:p>
        </w:tc>
        <w:tc>
          <w:tcPr>
            <w:tcW w:w="1100" w:type="dxa"/>
            <w:vAlign w:val="bottom"/>
          </w:tcPr>
          <w:p>
            <w:pPr>
              <w:jc w:val="right"/>
              <w:ind w:right="260"/>
              <w:spacing w:after="0"/>
              <w:rPr>
                <w:sz w:val="20"/>
                <w:szCs w:val="20"/>
                <w:color w:val="auto"/>
              </w:rPr>
            </w:pPr>
            <w:r>
              <w:rPr>
                <w:rFonts w:ascii="Arial" w:cs="Arial" w:eastAsia="Arial" w:hAnsi="Arial"/>
                <w:sz w:val="16"/>
                <w:szCs w:val="16"/>
                <w:color w:val="auto"/>
              </w:rPr>
              <w:t>2028</w:t>
            </w: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111,452</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99,617</w:t>
            </w:r>
          </w:p>
        </w:tc>
        <w:tc>
          <w:tcPr>
            <w:tcW w:w="0" w:type="dxa"/>
            <w:vAlign w:val="bottom"/>
          </w:tcPr>
          <w:p>
            <w:pPr>
              <w:spacing w:after="0"/>
              <w:rPr>
                <w:sz w:val="1"/>
                <w:szCs w:val="1"/>
                <w:color w:val="auto"/>
              </w:rPr>
            </w:pPr>
          </w:p>
        </w:tc>
      </w:tr>
      <w:tr>
        <w:trPr>
          <w:trHeight w:val="195"/>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Put option</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239,273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211,880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Put Option with International Finance Corporation (“IFC”)</w:t>
      </w:r>
    </w:p>
    <w:p>
      <w:pPr>
        <w:spacing w:after="0" w:line="198" w:lineRule="exact"/>
        <w:rPr>
          <w:sz w:val="20"/>
          <w:szCs w:val="20"/>
          <w:color w:val="auto"/>
        </w:rPr>
      </w:pPr>
    </w:p>
    <w:p>
      <w:pPr>
        <w:jc w:val="both"/>
        <w:ind w:left="4"/>
        <w:spacing w:after="0" w:line="287" w:lineRule="auto"/>
        <w:rPr>
          <w:sz w:val="20"/>
          <w:szCs w:val="20"/>
          <w:color w:val="auto"/>
        </w:rPr>
      </w:pPr>
      <w:r>
        <w:rPr>
          <w:rFonts w:ascii="Arial" w:cs="Arial" w:eastAsia="Arial" w:hAnsi="Arial"/>
          <w:sz w:val="15"/>
          <w:szCs w:val="15"/>
          <w:color w:val="auto"/>
        </w:rPr>
        <w:t>On September 1, 2017, the Company and IFC entered into various agreements, including an agreement that granted the right to IFC to put back all or some of the 410,755 ordinary shares it holds in the Company, during a three year period after the eight anniversary of such agreement, in exchange for cash. The amount payable by the Company, if IFC exercised its option, would have equal to an amount that generates a 12% internal rate of return over IFC’s subscription.</w:t>
      </w:r>
    </w:p>
    <w:p>
      <w:pPr>
        <w:spacing w:after="0" w:line="33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type w:val="continuous"/>
        </w:sectPr>
      </w:pPr>
    </w:p>
    <w:bookmarkStart w:id="181" w:name="page182"/>
    <w:bookmarkEnd w:id="181"/>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 classified and measured the obligation to buy back its ordinary shares from IFC at amortized cost and recognized finance expense using the effective interest rate method, including transaction costs, until the effectiveness of the Transaction.</w:t>
      </w:r>
    </w:p>
    <w:p>
      <w:pPr>
        <w:spacing w:after="0" w:line="15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In the event of a breach of obligations prior to the first anniversary of the agreement, IFC had the right to put back its shares as well in exchange for cash where the cash amount would have been based on a 15% internal rate of return. The Company has not been in breach of such obligations during 2021 and 2020.</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obligations of the Company were guaranteed through a 37% pledge of Company ordinary shares to IFC.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Put Option with Hoche Partners Pharma Holding S.A. (“Hoche”)</w:t>
      </w:r>
    </w:p>
    <w:p>
      <w:pPr>
        <w:spacing w:after="0" w:line="198"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Similar to IFC, the Company and Hoche entered into various agreements, including an agreement on December 23, 2019 that granted the right to Hoche to put back all or some of the 492,320 ordinary shares it holds in the Company, during a three year period after the eight anniversary after September 1, 2017, in exchange for cash. The amount payable by the Company, if Hoche exercised its option, would have been equal to an amount that generates a 12% internal rate of return over Hoche’s subscription.</w:t>
      </w:r>
    </w:p>
    <w:p>
      <w:pPr>
        <w:spacing w:after="0" w:line="12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 classified and measured the obligation to buy back its ordinary shares from Hoche at amortized cost and recognized finance expense using the effective interest rate method, until the effectiveness of the Transaction.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comprised the covenants established for the put option:</w:t>
      </w:r>
    </w:p>
    <w:p>
      <w:pPr>
        <w:spacing w:after="0" w:line="198" w:lineRule="exact"/>
        <w:rPr>
          <w:sz w:val="20"/>
          <w:szCs w:val="20"/>
          <w:color w:val="auto"/>
        </w:rPr>
      </w:pPr>
    </w:p>
    <w:p>
      <w:pPr>
        <w:jc w:val="both"/>
        <w:ind w:left="500" w:hanging="289"/>
        <w:spacing w:after="0" w:line="258" w:lineRule="auto"/>
        <w:tabs>
          <w:tab w:leader="none" w:pos="5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Do not incur any financial debt to any shareholder of the Company or any of its Subsidiaries in excess of US$ 3,000,000, beyond the existing shareholder loans set forth in the consolidated audited financial statements of the Company; provided, however, that any Financial Debt to any such shareholder of the Company or any of its Subsidiaries below US$ 3,000,000, shall not require IFC/Hoche consent so long as such Financial Debt is on market terms or terms more favorable for the Company or any Subsidiaries;</w:t>
      </w:r>
    </w:p>
    <w:p>
      <w:pPr>
        <w:spacing w:after="0" w:line="164" w:lineRule="exact"/>
        <w:rPr>
          <w:rFonts w:ascii="Arial" w:cs="Arial" w:eastAsia="Arial" w:hAnsi="Arial"/>
          <w:sz w:val="16"/>
          <w:szCs w:val="16"/>
          <w:color w:val="auto"/>
        </w:rPr>
      </w:pPr>
    </w:p>
    <w:p>
      <w:pPr>
        <w:ind w:left="500" w:right="20" w:hanging="289"/>
        <w:spacing w:after="0" w:line="275" w:lineRule="auto"/>
        <w:tabs>
          <w:tab w:leader="none" w:pos="5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Do not enter into any obligation outside of the normal course of business with a consideration in excess of 4% of the total assets of the Company as reported in the last available consolidated audit financial statements of the Company for the most recent Financial Year.</w:t>
      </w:r>
    </w:p>
    <w:p>
      <w:pPr>
        <w:spacing w:after="0" w:line="151" w:lineRule="exact"/>
        <w:rPr>
          <w:rFonts w:ascii="Arial" w:cs="Arial" w:eastAsia="Arial" w:hAnsi="Arial"/>
          <w:sz w:val="16"/>
          <w:szCs w:val="16"/>
          <w:color w:val="auto"/>
        </w:rPr>
      </w:pPr>
    </w:p>
    <w:p>
      <w:pPr>
        <w:jc w:val="both"/>
        <w:ind w:left="500" w:hanging="289"/>
        <w:spacing w:after="0" w:line="262" w:lineRule="auto"/>
        <w:tabs>
          <w:tab w:leader="none" w:pos="5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Do not enter into any commitments for acquisitions of other entities (whether by the acquisition of shares, assets, or otherwise) where the aggregate consideration of all such commitments in any financial year is in excess of 4% of the total assets of the Company as reported in the latest available consolidated audited financial statements of the Company for the most recent Financial Year</w:t>
      </w:r>
    </w:p>
    <w:p>
      <w:pPr>
        <w:spacing w:after="0" w:line="162" w:lineRule="exact"/>
        <w:rPr>
          <w:rFonts w:ascii="Arial" w:cs="Arial" w:eastAsia="Arial" w:hAnsi="Arial"/>
          <w:sz w:val="16"/>
          <w:szCs w:val="16"/>
          <w:color w:val="auto"/>
        </w:rPr>
      </w:pPr>
    </w:p>
    <w:p>
      <w:pPr>
        <w:jc w:val="both"/>
        <w:ind w:left="500" w:right="20" w:hanging="289"/>
        <w:spacing w:after="0" w:line="262" w:lineRule="auto"/>
        <w:tabs>
          <w:tab w:leader="none" w:pos="5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Do not incur any financial debt if the Debt-to-Ebitda Ratio of the Company would exceed 3,5x, provided, that for so long as 2 independent directors have not been appointed to the board, the financial entity´s consent shall be required prior to the Company or any Subsidiary incurring additional Financial Debt if the Debt-Ebitda Ratio would exceed 3,25x.</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Management continuously monitored the observation of these obligations, and was in compliance as of the date of these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the effectiveness of the Transaction, September 29, 2021, the put option agreements were terminated in exchange for new equity instruments in Procaps Group SA. The termination of the put option resulted in the associated liabilities to be reclassified into Company’s equity. A true-up of $35,920 has been recognized in September 2021 to reflect the commencement date, re-negotiated during current year, for the annual return with Hoche.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Arial" w:cs="Arial" w:eastAsia="Arial" w:hAnsi="Arial"/>
                <w:sz w:val="16"/>
                <w:szCs w:val="16"/>
                <w:i w:val="1"/>
                <w:iCs w:val="1"/>
                <w:color w:val="auto"/>
              </w:rPr>
              <w:t>6. Bank overdraft</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6"/>
        </w:trPr>
        <w:tc>
          <w:tcPr>
            <w:tcW w:w="3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6"/>
                <w:szCs w:val="16"/>
                <w:b w:val="1"/>
                <w:bCs w:val="1"/>
                <w:color w:val="auto"/>
              </w:rPr>
              <w:t>Maturity</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2"/>
        </w:trPr>
        <w:tc>
          <w:tcPr>
            <w:tcW w:w="3260" w:type="dxa"/>
            <w:vAlign w:val="bottom"/>
          </w:tcPr>
          <w:p>
            <w:pPr>
              <w:spacing w:after="0"/>
              <w:rPr>
                <w:sz w:val="18"/>
                <w:szCs w:val="18"/>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Currency</w:t>
            </w:r>
          </w:p>
        </w:tc>
        <w:tc>
          <w:tcPr>
            <w:tcW w:w="40" w:type="dxa"/>
            <w:vAlign w:val="bottom"/>
          </w:tcPr>
          <w:p>
            <w:pPr>
              <w:spacing w:after="0"/>
              <w:rPr>
                <w:sz w:val="18"/>
                <w:szCs w:val="18"/>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8"/>
              </w:rPr>
              <w:t>Range of Interest</w:t>
            </w:r>
          </w:p>
        </w:tc>
        <w:tc>
          <w:tcPr>
            <w:tcW w:w="1100" w:type="dxa"/>
            <w:vAlign w:val="bottom"/>
            <w:gridSpan w:val="2"/>
          </w:tcPr>
          <w:p>
            <w:pPr>
              <w:ind w:left="400"/>
              <w:spacing w:after="0"/>
              <w:rPr>
                <w:sz w:val="20"/>
                <w:szCs w:val="20"/>
                <w:color w:val="auto"/>
              </w:rPr>
            </w:pPr>
            <w:r>
              <w:rPr>
                <w:rFonts w:ascii="Arial" w:cs="Arial" w:eastAsia="Arial" w:hAnsi="Arial"/>
                <w:sz w:val="16"/>
                <w:szCs w:val="16"/>
                <w:b w:val="1"/>
                <w:bCs w:val="1"/>
                <w:color w:val="auto"/>
              </w:rPr>
              <w:t>Year</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12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79"/>
        </w:trPr>
        <w:tc>
          <w:tcPr>
            <w:tcW w:w="326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Overdrafts and credit cards</w:t>
            </w:r>
          </w:p>
        </w:tc>
        <w:tc>
          <w:tcPr>
            <w:tcW w:w="124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86"/>
              </w:rPr>
              <w:t>COP</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gridSpan w:val="2"/>
            <w:shd w:val="clear" w:color="auto" w:fill="CCEEFF"/>
          </w:tcPr>
          <w:p>
            <w:pPr>
              <w:jc w:val="center"/>
              <w:ind w:right="20"/>
              <w:spacing w:after="0" w:line="179" w:lineRule="exact"/>
              <w:rPr>
                <w:sz w:val="20"/>
                <w:szCs w:val="20"/>
                <w:color w:val="auto"/>
              </w:rPr>
            </w:pPr>
            <w:r>
              <w:rPr>
                <w:rFonts w:ascii="Arial" w:cs="Arial" w:eastAsia="Arial" w:hAnsi="Arial"/>
                <w:sz w:val="16"/>
                <w:szCs w:val="16"/>
                <w:color w:val="auto"/>
                <w:w w:val="91"/>
              </w:rPr>
              <w:t>19.68% - 32% E.A.</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4"/>
        </w:trPr>
        <w:tc>
          <w:tcPr>
            <w:tcW w:w="3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20" w:type="dxa"/>
            <w:vAlign w:val="bottom"/>
            <w:gridSpan w:val="4"/>
            <w:shd w:val="clear" w:color="auto" w:fill="CCEEFF"/>
          </w:tcPr>
          <w:p>
            <w:pPr>
              <w:ind w:left="440"/>
              <w:spacing w:after="0"/>
              <w:rPr>
                <w:sz w:val="20"/>
                <w:szCs w:val="20"/>
                <w:color w:val="auto"/>
              </w:rPr>
            </w:pPr>
            <w:r>
              <w:rPr>
                <w:rFonts w:ascii="Arial" w:cs="Arial" w:eastAsia="Arial" w:hAnsi="Arial"/>
                <w:sz w:val="16"/>
                <w:szCs w:val="16"/>
                <w:color w:val="auto"/>
              </w:rPr>
              <w:t>(Fixed)</w:t>
            </w:r>
          </w:p>
        </w:tc>
        <w:tc>
          <w:tcPr>
            <w:tcW w:w="1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2022</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902</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3,047</w:t>
            </w:r>
          </w:p>
        </w:tc>
      </w:tr>
      <w:tr>
        <w:trPr>
          <w:trHeight w:val="383"/>
        </w:trPr>
        <w:tc>
          <w:tcPr>
            <w:tcW w:w="3260" w:type="dxa"/>
            <w:vAlign w:val="bottom"/>
          </w:tcPr>
          <w:p>
            <w:pPr>
              <w:spacing w:after="0"/>
              <w:rPr>
                <w:sz w:val="20"/>
                <w:szCs w:val="20"/>
                <w:color w:val="auto"/>
              </w:rPr>
            </w:pPr>
            <w:r>
              <w:rPr>
                <w:rFonts w:ascii="Arial" w:cs="Arial" w:eastAsia="Arial" w:hAnsi="Arial"/>
                <w:sz w:val="16"/>
                <w:szCs w:val="16"/>
                <w:i w:val="1"/>
                <w:iCs w:val="1"/>
                <w:color w:val="auto"/>
              </w:rPr>
              <w:t>7. Notes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3260" w:type="dxa"/>
            <w:vAlign w:val="bottom"/>
          </w:tcPr>
          <w:p>
            <w:pPr>
              <w:spacing w:after="0"/>
              <w:rPr>
                <w:sz w:val="24"/>
                <w:szCs w:val="24"/>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Currency</w:t>
            </w:r>
          </w:p>
        </w:tc>
        <w:tc>
          <w:tcPr>
            <w:tcW w:w="40" w:type="dxa"/>
            <w:vAlign w:val="bottom"/>
          </w:tcPr>
          <w:p>
            <w:pPr>
              <w:spacing w:after="0"/>
              <w:rPr>
                <w:sz w:val="24"/>
                <w:szCs w:val="24"/>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0"/>
              </w:rPr>
              <w:t>Range of Interest</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Maturity Year</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24"/>
                <w:szCs w:val="24"/>
                <w:color w:val="auto"/>
              </w:rPr>
            </w:pPr>
          </w:p>
        </w:tc>
        <w:tc>
          <w:tcPr>
            <w:tcW w:w="112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4"/>
                <w:szCs w:val="24"/>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r>
      <w:tr>
        <w:trPr>
          <w:trHeight w:val="191"/>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The Prudential Insurance Company of America</w:t>
            </w:r>
          </w:p>
        </w:tc>
        <w:tc>
          <w:tcPr>
            <w:tcW w:w="12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4"/>
              </w:rPr>
              <w:t>USD</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4.75% (Fixed)</w:t>
            </w:r>
          </w:p>
        </w:tc>
        <w:tc>
          <w:tcPr>
            <w:tcW w:w="12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2031</w:t>
            </w: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58,906</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3260" w:type="dxa"/>
            <w:vAlign w:val="bottom"/>
          </w:tcPr>
          <w:p>
            <w:pPr>
              <w:spacing w:after="0"/>
              <w:rPr>
                <w:sz w:val="20"/>
                <w:szCs w:val="20"/>
                <w:color w:val="auto"/>
              </w:rPr>
            </w:pPr>
            <w:r>
              <w:rPr>
                <w:rFonts w:ascii="Arial" w:cs="Arial" w:eastAsia="Arial" w:hAnsi="Arial"/>
                <w:sz w:val="16"/>
                <w:szCs w:val="16"/>
                <w:color w:val="auto"/>
                <w:w w:val="95"/>
              </w:rPr>
              <w:t>Prudential Annuities Life Assurance Corporation</w:t>
            </w:r>
          </w:p>
        </w:tc>
        <w:tc>
          <w:tcPr>
            <w:tcW w:w="1340" w:type="dxa"/>
            <w:vAlign w:val="bottom"/>
            <w:gridSpan w:val="3"/>
          </w:tcPr>
          <w:p>
            <w:pPr>
              <w:jc w:val="center"/>
              <w:ind w:right="60"/>
              <w:spacing w:after="0"/>
              <w:rPr>
                <w:sz w:val="20"/>
                <w:szCs w:val="20"/>
                <w:color w:val="auto"/>
              </w:rPr>
            </w:pPr>
            <w:r>
              <w:rPr>
                <w:rFonts w:ascii="Arial" w:cs="Arial" w:eastAsia="Arial" w:hAnsi="Arial"/>
                <w:sz w:val="16"/>
                <w:szCs w:val="16"/>
                <w:color w:val="auto"/>
                <w:w w:val="94"/>
              </w:rPr>
              <w:t>USD</w:t>
            </w:r>
          </w:p>
        </w:tc>
        <w:tc>
          <w:tcPr>
            <w:tcW w:w="4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6"/>
                <w:szCs w:val="16"/>
                <w:color w:val="auto"/>
                <w:w w:val="92"/>
              </w:rPr>
              <w:t>4.75% (Fixed)</w:t>
            </w:r>
          </w:p>
        </w:tc>
        <w:tc>
          <w:tcPr>
            <w:tcW w:w="1060" w:type="dxa"/>
            <w:vAlign w:val="bottom"/>
          </w:tcPr>
          <w:p>
            <w:pPr>
              <w:ind w:left="400"/>
              <w:spacing w:after="0"/>
              <w:rPr>
                <w:sz w:val="20"/>
                <w:szCs w:val="20"/>
                <w:color w:val="auto"/>
              </w:rPr>
            </w:pPr>
            <w:r>
              <w:rPr>
                <w:rFonts w:ascii="Arial" w:cs="Arial" w:eastAsia="Arial" w:hAnsi="Arial"/>
                <w:sz w:val="16"/>
                <w:szCs w:val="16"/>
                <w:color w:val="auto"/>
              </w:rPr>
              <w:t>2031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29,423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79"/>
        </w:trPr>
        <w:tc>
          <w:tcPr>
            <w:tcW w:w="326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w w:val="95"/>
              </w:rPr>
              <w:t>Healthspring Life &amp; Health Insurance Company,</w:t>
            </w:r>
          </w:p>
        </w:tc>
        <w:tc>
          <w:tcPr>
            <w:tcW w:w="1340" w:type="dxa"/>
            <w:vAlign w:val="bottom"/>
            <w:gridSpan w:val="3"/>
            <w:shd w:val="clear" w:color="auto" w:fill="CCEEFF"/>
          </w:tcPr>
          <w:p>
            <w:pPr>
              <w:jc w:val="center"/>
              <w:ind w:right="60"/>
              <w:spacing w:after="0" w:line="179" w:lineRule="exact"/>
              <w:rPr>
                <w:sz w:val="20"/>
                <w:szCs w:val="20"/>
                <w:color w:val="auto"/>
              </w:rPr>
            </w:pPr>
            <w:r>
              <w:rPr>
                <w:rFonts w:ascii="Arial" w:cs="Arial" w:eastAsia="Arial" w:hAnsi="Arial"/>
                <w:sz w:val="16"/>
                <w:szCs w:val="16"/>
                <w:color w:val="auto"/>
                <w:w w:val="94"/>
              </w:rPr>
              <w:t>USD</w:t>
            </w:r>
          </w:p>
        </w:tc>
        <w:tc>
          <w:tcPr>
            <w:tcW w:w="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4"/>
        </w:trPr>
        <w:tc>
          <w:tcPr>
            <w:tcW w:w="3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w:t>
            </w: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20" w:type="dxa"/>
            <w:vAlign w:val="bottom"/>
            <w:gridSpan w:val="4"/>
            <w:shd w:val="clear" w:color="auto" w:fill="CCEEFF"/>
          </w:tcPr>
          <w:p>
            <w:pPr>
              <w:jc w:val="center"/>
              <w:ind w:right="180"/>
              <w:spacing w:after="0"/>
              <w:rPr>
                <w:sz w:val="20"/>
                <w:szCs w:val="20"/>
                <w:color w:val="auto"/>
              </w:rPr>
            </w:pPr>
            <w:r>
              <w:rPr>
                <w:rFonts w:ascii="Arial" w:cs="Arial" w:eastAsia="Arial" w:hAnsi="Arial"/>
                <w:sz w:val="16"/>
                <w:szCs w:val="16"/>
                <w:color w:val="auto"/>
                <w:w w:val="92"/>
              </w:rPr>
              <w:t>4.75% (Fixed)</w:t>
            </w:r>
          </w:p>
        </w:tc>
        <w:tc>
          <w:tcPr>
            <w:tcW w:w="1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2031</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18,007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3260" w:type="dxa"/>
            <w:vAlign w:val="bottom"/>
          </w:tcPr>
          <w:p>
            <w:pPr>
              <w:spacing w:after="0"/>
              <w:rPr>
                <w:sz w:val="20"/>
                <w:szCs w:val="20"/>
                <w:color w:val="auto"/>
              </w:rPr>
            </w:pPr>
            <w:r>
              <w:rPr>
                <w:rFonts w:ascii="Arial" w:cs="Arial" w:eastAsia="Arial" w:hAnsi="Arial"/>
                <w:sz w:val="16"/>
                <w:szCs w:val="16"/>
                <w:color w:val="auto"/>
              </w:rPr>
              <w:t>CIGNA Health and Life Insurance Company</w:t>
            </w:r>
          </w:p>
        </w:tc>
        <w:tc>
          <w:tcPr>
            <w:tcW w:w="1340" w:type="dxa"/>
            <w:vAlign w:val="bottom"/>
            <w:gridSpan w:val="3"/>
          </w:tcPr>
          <w:p>
            <w:pPr>
              <w:jc w:val="center"/>
              <w:ind w:right="60"/>
              <w:spacing w:after="0"/>
              <w:rPr>
                <w:sz w:val="20"/>
                <w:szCs w:val="20"/>
                <w:color w:val="auto"/>
              </w:rPr>
            </w:pPr>
            <w:r>
              <w:rPr>
                <w:rFonts w:ascii="Arial" w:cs="Arial" w:eastAsia="Arial" w:hAnsi="Arial"/>
                <w:sz w:val="16"/>
                <w:szCs w:val="16"/>
                <w:color w:val="auto"/>
                <w:w w:val="94"/>
              </w:rPr>
              <w:t>USD</w:t>
            </w:r>
          </w:p>
        </w:tc>
        <w:tc>
          <w:tcPr>
            <w:tcW w:w="40" w:type="dxa"/>
            <w:vAlign w:val="bottom"/>
          </w:tcPr>
          <w:p>
            <w:pPr>
              <w:spacing w:after="0"/>
              <w:rPr>
                <w:sz w:val="18"/>
                <w:szCs w:val="18"/>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6"/>
                <w:szCs w:val="16"/>
                <w:color w:val="auto"/>
                <w:w w:val="92"/>
              </w:rPr>
              <w:t>4.75% (Fixed)</w:t>
            </w:r>
          </w:p>
        </w:tc>
        <w:tc>
          <w:tcPr>
            <w:tcW w:w="1060" w:type="dxa"/>
            <w:vAlign w:val="bottom"/>
          </w:tcPr>
          <w:p>
            <w:pPr>
              <w:ind w:left="400"/>
              <w:spacing w:after="0"/>
              <w:rPr>
                <w:sz w:val="20"/>
                <w:szCs w:val="20"/>
                <w:color w:val="auto"/>
              </w:rPr>
            </w:pPr>
            <w:r>
              <w:rPr>
                <w:rFonts w:ascii="Arial" w:cs="Arial" w:eastAsia="Arial" w:hAnsi="Arial"/>
                <w:sz w:val="16"/>
                <w:szCs w:val="16"/>
                <w:color w:val="auto"/>
              </w:rPr>
              <w:t>2031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6,521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Senior Notes</w:t>
            </w: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112,857</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On November 12, 2021, the Company closed the private placement offering of $115 million aggregate principal amount of 4.75% guaranteed senior notes (the “Senior Notes”) issued by Procaps, S.A., a subsidiary of the Company, due November 12, 2031, pursuant to a note purchase agreement entered into on November 5, 2021 with The Prudential Insurance Company of America, Prudential Annuities Life Assurance Corporation, Healthspring Life &amp; Health Insurance Company, Inc. and Cigna Health and Life Insurance Company Inc.</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Senior Notes are a senior unsecured obligations of Procaps, S.A. and unconditionally guaranteed by Procaps Group S.A. and the following subsidiaries of the Company: C.I. Procaps, S.A., Diabetrics Healthcare S.A.S., Pharmayect S.A., Procaps, S.A. de C.V., Biokemical, S.A. de C.V., Colbras Indústria e Comércio Ltda., and Sofgen Pharmaceuticals LLC.</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Debt issuance costs related to the Senior Notes of $2,142, comprised of commissions payable to the initial purchasers of $1,390 and attorneys’ costs of $752, were allocated to the liability of the Notes based on their relative values. Issuance incremental costs are part of the effective rate and amortized to interest expense using the effective interest method over the contractual term.</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Senior Notes require Procaps, S.A., the Company and the other obligors thereunder to comply with the following financial ratios:</w:t>
      </w:r>
    </w:p>
    <w:p>
      <w:pPr>
        <w:spacing w:after="0" w:line="198" w:lineRule="exact"/>
        <w:rPr>
          <w:sz w:val="20"/>
          <w:szCs w:val="20"/>
          <w:color w:val="auto"/>
        </w:rPr>
      </w:pPr>
    </w:p>
    <w:p>
      <w:pPr>
        <w:ind w:left="560" w:hanging="278"/>
        <w:spacing w:after="0" w:line="275" w:lineRule="auto"/>
        <w:tabs>
          <w:tab w:leader="none" w:pos="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 consolidated total debt of Procaps, S.A., the Company and the other obligors thereunder to consolidated EBITDA for the last twelve months of 3.50:1.00 or less, measured at certain dates of determination and;</w:t>
      </w:r>
    </w:p>
    <w:p>
      <w:pPr>
        <w:spacing w:after="0" w:line="151" w:lineRule="exact"/>
        <w:rPr>
          <w:rFonts w:ascii="Arial" w:cs="Arial" w:eastAsia="Arial" w:hAnsi="Arial"/>
          <w:sz w:val="16"/>
          <w:szCs w:val="16"/>
          <w:color w:val="auto"/>
        </w:rPr>
      </w:pPr>
    </w:p>
    <w:p>
      <w:pPr>
        <w:jc w:val="both"/>
        <w:ind w:left="560" w:right="20" w:hanging="278"/>
        <w:spacing w:after="0" w:line="262" w:lineRule="auto"/>
        <w:tabs>
          <w:tab w:leader="none" w:pos="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 EBITDA interest coverage ratio (calculated as the consolidated EBITDA for the last twelve months of Procaps, S.A., the Company and the other obligors thereunder divided by the consolidated interest expenses of Procaps, S.A., the Company and the other obligors thereunder) in excess of, or equal to, 3.00:1.00, calculated at certain dates of determination.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of December 31, 2021, the Company was in compliance with all of the financial covenants related to the Senior Notes, and management expects that the Company will be able to maintain compliance with the financial covenants in the future.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 Senior Notes are classified as long-term debt on the Company’s consolidated balance sheets and will be until such Senior Notes are within one year of maturity.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20" w:type="dxa"/>
            <w:vAlign w:val="bottom"/>
          </w:tcPr>
          <w:p>
            <w:pPr>
              <w:spacing w:after="0"/>
              <w:rPr>
                <w:sz w:val="20"/>
                <w:szCs w:val="20"/>
                <w:color w:val="auto"/>
              </w:rPr>
            </w:pPr>
            <w:r>
              <w:rPr>
                <w:rFonts w:ascii="Arial" w:cs="Arial" w:eastAsia="Arial" w:hAnsi="Arial"/>
                <w:sz w:val="16"/>
                <w:szCs w:val="16"/>
                <w:i w:val="1"/>
                <w:iCs w:val="1"/>
                <w:color w:val="auto"/>
              </w:rPr>
              <w:t>Reconciliation of liabilities arising from financing activities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0"/>
        </w:trPr>
        <w:tc>
          <w:tcPr>
            <w:tcW w:w="462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January 1,</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4"/>
              </w:rPr>
              <w:t>Payment cash</w:t>
            </w: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New</w:t>
            </w:r>
          </w:p>
        </w:tc>
        <w:tc>
          <w:tcPr>
            <w:tcW w:w="13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Other</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6"/>
              </w:rPr>
              <w:t>December 31,</w:t>
            </w:r>
          </w:p>
        </w:tc>
      </w:tr>
      <w:tr>
        <w:trPr>
          <w:trHeight w:val="243"/>
        </w:trPr>
        <w:tc>
          <w:tcPr>
            <w:tcW w:w="4620" w:type="dxa"/>
            <w:vAlign w:val="bottom"/>
          </w:tcPr>
          <w:p>
            <w:pPr>
              <w:spacing w:after="0"/>
              <w:rPr>
                <w:sz w:val="21"/>
                <w:szCs w:val="21"/>
                <w:color w:val="auto"/>
              </w:rPr>
            </w:pP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21"/>
                <w:szCs w:val="21"/>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flows</w:t>
            </w:r>
          </w:p>
        </w:tc>
        <w:tc>
          <w:tcPr>
            <w:tcW w:w="1340" w:type="dxa"/>
            <w:vAlign w:val="bottom"/>
            <w:gridSpan w:val="2"/>
          </w:tcPr>
          <w:p>
            <w:pPr>
              <w:jc w:val="center"/>
              <w:ind w:right="200"/>
              <w:spacing w:after="0" w:line="238" w:lineRule="exact"/>
              <w:rPr>
                <w:sz w:val="20"/>
                <w:szCs w:val="20"/>
                <w:color w:val="auto"/>
              </w:rPr>
            </w:pPr>
            <w:r>
              <w:rPr>
                <w:rFonts w:ascii="Arial" w:cs="Arial" w:eastAsia="Arial" w:hAnsi="Arial"/>
                <w:sz w:val="16"/>
                <w:szCs w:val="16"/>
                <w:b w:val="1"/>
                <w:bCs w:val="1"/>
                <w:color w:val="auto"/>
                <w:w w:val="89"/>
              </w:rPr>
              <w:t xml:space="preserve">liabilities </w:t>
            </w:r>
            <w:r>
              <w:rPr>
                <w:rFonts w:ascii="Arial" w:cs="Arial" w:eastAsia="Arial" w:hAnsi="Arial"/>
                <w:sz w:val="26"/>
                <w:szCs w:val="26"/>
                <w:b w:val="1"/>
                <w:bCs w:val="1"/>
                <w:color w:val="auto"/>
                <w:w w:val="89"/>
                <w:vertAlign w:val="superscript"/>
              </w:rPr>
              <w:t>1</w:t>
            </w:r>
          </w:p>
        </w:tc>
        <w:tc>
          <w:tcPr>
            <w:tcW w:w="1340" w:type="dxa"/>
            <w:vAlign w:val="bottom"/>
            <w:gridSpan w:val="2"/>
          </w:tcPr>
          <w:p>
            <w:pPr>
              <w:jc w:val="right"/>
              <w:ind w:right="380"/>
              <w:spacing w:after="0" w:line="238" w:lineRule="exact"/>
              <w:rPr>
                <w:sz w:val="20"/>
                <w:szCs w:val="20"/>
                <w:color w:val="auto"/>
              </w:rPr>
            </w:pPr>
            <w:r>
              <w:rPr>
                <w:rFonts w:ascii="Arial" w:cs="Arial" w:eastAsia="Arial" w:hAnsi="Arial"/>
                <w:sz w:val="16"/>
                <w:szCs w:val="16"/>
                <w:b w:val="1"/>
                <w:bCs w:val="1"/>
                <w:color w:val="auto"/>
              </w:rPr>
              <w:t xml:space="preserve">changes </w:t>
            </w:r>
            <w:r>
              <w:rPr>
                <w:rFonts w:ascii="Arial" w:cs="Arial" w:eastAsia="Arial" w:hAnsi="Arial"/>
                <w:sz w:val="26"/>
                <w:szCs w:val="26"/>
                <w:b w:val="1"/>
                <w:bCs w:val="1"/>
                <w:color w:val="auto"/>
                <w:vertAlign w:val="superscript"/>
              </w:rPr>
              <w:t>2</w:t>
            </w: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1"/>
                <w:szCs w:val="21"/>
                <w:color w:val="auto"/>
              </w:rPr>
            </w:pPr>
          </w:p>
        </w:tc>
      </w:tr>
      <w:tr>
        <w:trPr>
          <w:trHeight w:val="191"/>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Syndicated term loan</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81,906</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(28,239)</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(7,162)</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46,505</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4620" w:type="dxa"/>
            <w:vAlign w:val="bottom"/>
          </w:tcPr>
          <w:p>
            <w:pPr>
              <w:spacing w:after="0"/>
              <w:rPr>
                <w:sz w:val="20"/>
                <w:szCs w:val="20"/>
                <w:color w:val="auto"/>
              </w:rPr>
            </w:pPr>
            <w:r>
              <w:rPr>
                <w:rFonts w:ascii="Arial" w:cs="Arial" w:eastAsia="Arial" w:hAnsi="Arial"/>
                <w:sz w:val="16"/>
                <w:szCs w:val="16"/>
                <w:color w:val="auto"/>
              </w:rPr>
              <w:t>Other term loan</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85,645</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(224,380)</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193,120</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(2,792)</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51,593</w:t>
            </w:r>
          </w:p>
        </w:tc>
      </w:tr>
      <w:tr>
        <w:trPr>
          <w:trHeight w:val="191"/>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36,799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(8,854)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7,283</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(3,481)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31,747</w:t>
            </w:r>
          </w:p>
        </w:tc>
      </w:tr>
      <w:tr>
        <w:trPr>
          <w:trHeight w:val="191"/>
        </w:trPr>
        <w:tc>
          <w:tcPr>
            <w:tcW w:w="4620" w:type="dxa"/>
            <w:vAlign w:val="bottom"/>
          </w:tcPr>
          <w:p>
            <w:pPr>
              <w:spacing w:after="0"/>
              <w:rPr>
                <w:sz w:val="20"/>
                <w:szCs w:val="20"/>
                <w:color w:val="auto"/>
              </w:rPr>
            </w:pPr>
            <w:r>
              <w:rPr>
                <w:rFonts w:ascii="Arial" w:cs="Arial" w:eastAsia="Arial" w:hAnsi="Arial"/>
                <w:sz w:val="16"/>
                <w:szCs w:val="16"/>
                <w:color w:val="auto"/>
              </w:rPr>
              <w:t>Factoring obligations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9,993</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(18,779)</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22,956</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(3,561)</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10,609</w:t>
            </w:r>
          </w:p>
        </w:tc>
      </w:tr>
      <w:tr>
        <w:trPr>
          <w:trHeight w:val="191"/>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Put option agreement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239,273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(239,273)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4620" w:type="dxa"/>
            <w:vAlign w:val="bottom"/>
          </w:tcPr>
          <w:p>
            <w:pPr>
              <w:spacing w:after="0"/>
              <w:rPr>
                <w:sz w:val="20"/>
                <w:szCs w:val="20"/>
                <w:color w:val="auto"/>
              </w:rPr>
            </w:pPr>
            <w:r>
              <w:rPr>
                <w:rFonts w:ascii="Arial" w:cs="Arial" w:eastAsia="Arial" w:hAnsi="Arial"/>
                <w:sz w:val="16"/>
                <w:szCs w:val="16"/>
                <w:color w:val="auto"/>
              </w:rPr>
              <w:t>Bank overdrafts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902</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(903)</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6"/>
                <w:szCs w:val="16"/>
                <w:color w:val="auto"/>
              </w:rPr>
            </w:pP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Senior Notes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112,857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112,857</w:t>
            </w:r>
          </w:p>
        </w:tc>
      </w:tr>
      <w:tr>
        <w:trPr>
          <w:trHeight w:val="179"/>
        </w:trPr>
        <w:tc>
          <w:tcPr>
            <w:tcW w:w="462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 liabilities from financing activities</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454,518</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(281,155</w:t>
            </w:r>
          </w:p>
        </w:tc>
        <w:tc>
          <w:tcPr>
            <w:tcW w:w="240" w:type="dxa"/>
            <w:vAlign w:val="bottom"/>
            <w:tcBorders>
              <w:top w:val="single" w:sz="8" w:color="CCEEFF"/>
            </w:tcBorders>
          </w:tcPr>
          <w:p>
            <w:pPr>
              <w:jc w:val="right"/>
              <w:ind w:right="100"/>
              <w:spacing w:after="0" w:line="175" w:lineRule="exact"/>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336,216</w:t>
            </w: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(256,213</w:t>
            </w:r>
          </w:p>
        </w:tc>
        <w:tc>
          <w:tcPr>
            <w:tcW w:w="220" w:type="dxa"/>
            <w:vAlign w:val="bottom"/>
            <w:tcBorders>
              <w:top w:val="single" w:sz="8" w:color="CCEEFF"/>
            </w:tcBorders>
          </w:tcPr>
          <w:p>
            <w:pPr>
              <w:jc w:val="right"/>
              <w:ind w:right="80"/>
              <w:spacing w:after="0" w:line="175" w:lineRule="exact"/>
              <w:rPr>
                <w:sz w:val="20"/>
                <w:szCs w:val="20"/>
                <w:color w:val="auto"/>
              </w:rPr>
            </w:pPr>
            <w:r>
              <w:rPr>
                <w:rFonts w:ascii="Arial" w:cs="Arial" w:eastAsia="Arial" w:hAnsi="Arial"/>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253,366</w:t>
            </w:r>
          </w:p>
        </w:tc>
        <w:tc>
          <w:tcPr>
            <w:tcW w:w="120" w:type="dxa"/>
            <w:vAlign w:val="bottom"/>
            <w:tcBorders>
              <w:top w:val="single" w:sz="8" w:color="CCEEFF"/>
            </w:tcBorders>
          </w:tcPr>
          <w:p>
            <w:pPr>
              <w:spacing w:after="0"/>
              <w:rPr>
                <w:sz w:val="15"/>
                <w:szCs w:val="15"/>
                <w:color w:val="auto"/>
              </w:rPr>
            </w:pPr>
          </w:p>
        </w:tc>
      </w:tr>
      <w:tr>
        <w:trPr>
          <w:trHeight w:val="577"/>
        </w:trPr>
        <w:tc>
          <w:tcPr>
            <w:tcW w:w="4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860"/>
              <w:spacing w:after="0"/>
              <w:rPr>
                <w:sz w:val="20"/>
                <w:szCs w:val="20"/>
                <w:color w:val="auto"/>
              </w:rPr>
            </w:pPr>
            <w:r>
              <w:rPr>
                <w:rFonts w:ascii="Arial" w:cs="Arial" w:eastAsia="Arial" w:hAnsi="Arial"/>
                <w:sz w:val="16"/>
                <w:szCs w:val="16"/>
                <w:color w:val="auto"/>
              </w:rPr>
              <w:t>F-59</w:t>
            </w: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2" w:right="319" w:bottom="1440" w:gutter="0" w:footer="0" w:header="0"/>
        </w:sectPr>
      </w:pPr>
    </w:p>
    <w:bookmarkStart w:id="184" w:name="page185"/>
    <w:bookmarkEnd w:id="184"/>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576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January 1,</w:t>
            </w: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Payment</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New</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Other</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r>
      <w:tr>
        <w:trPr>
          <w:trHeight w:val="243"/>
        </w:trPr>
        <w:tc>
          <w:tcPr>
            <w:tcW w:w="576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4"/>
              </w:rPr>
              <w:t>2020</w:t>
            </w:r>
          </w:p>
        </w:tc>
        <w:tc>
          <w:tcPr>
            <w:tcW w:w="240" w:type="dxa"/>
            <w:vAlign w:val="bottom"/>
          </w:tcPr>
          <w:p>
            <w:pPr>
              <w:spacing w:after="0"/>
              <w:rPr>
                <w:sz w:val="21"/>
                <w:szCs w:val="21"/>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cash flows</w:t>
            </w:r>
          </w:p>
        </w:tc>
        <w:tc>
          <w:tcPr>
            <w:tcW w:w="1100" w:type="dxa"/>
            <w:vAlign w:val="bottom"/>
            <w:gridSpan w:val="2"/>
          </w:tcPr>
          <w:p>
            <w:pPr>
              <w:jc w:val="center"/>
              <w:ind w:right="200"/>
              <w:spacing w:after="0" w:line="238" w:lineRule="exact"/>
              <w:rPr>
                <w:sz w:val="20"/>
                <w:szCs w:val="20"/>
                <w:color w:val="auto"/>
              </w:rPr>
            </w:pPr>
            <w:r>
              <w:rPr>
                <w:rFonts w:ascii="Arial" w:cs="Arial" w:eastAsia="Arial" w:hAnsi="Arial"/>
                <w:sz w:val="16"/>
                <w:szCs w:val="16"/>
                <w:b w:val="1"/>
                <w:bCs w:val="1"/>
                <w:color w:val="auto"/>
                <w:w w:val="89"/>
              </w:rPr>
              <w:t xml:space="preserve">liabilities </w:t>
            </w:r>
            <w:r>
              <w:rPr>
                <w:rFonts w:ascii="Arial" w:cs="Arial" w:eastAsia="Arial" w:hAnsi="Arial"/>
                <w:sz w:val="26"/>
                <w:szCs w:val="26"/>
                <w:b w:val="1"/>
                <w:bCs w:val="1"/>
                <w:color w:val="auto"/>
                <w:w w:val="89"/>
                <w:vertAlign w:val="superscript"/>
              </w:rPr>
              <w:t>1</w:t>
            </w:r>
          </w:p>
        </w:tc>
        <w:tc>
          <w:tcPr>
            <w:tcW w:w="1100" w:type="dxa"/>
            <w:vAlign w:val="bottom"/>
            <w:gridSpan w:val="2"/>
          </w:tcPr>
          <w:p>
            <w:pPr>
              <w:jc w:val="center"/>
              <w:ind w:right="200"/>
              <w:spacing w:after="0" w:line="238" w:lineRule="exact"/>
              <w:rPr>
                <w:sz w:val="20"/>
                <w:szCs w:val="20"/>
                <w:color w:val="auto"/>
              </w:rPr>
            </w:pPr>
            <w:r>
              <w:rPr>
                <w:rFonts w:ascii="Arial" w:cs="Arial" w:eastAsia="Arial" w:hAnsi="Arial"/>
                <w:sz w:val="16"/>
                <w:szCs w:val="16"/>
                <w:b w:val="1"/>
                <w:bCs w:val="1"/>
                <w:color w:val="auto"/>
                <w:w w:val="83"/>
              </w:rPr>
              <w:t xml:space="preserve">changes </w:t>
            </w:r>
            <w:r>
              <w:rPr>
                <w:rFonts w:ascii="Arial" w:cs="Arial" w:eastAsia="Arial" w:hAnsi="Arial"/>
                <w:sz w:val="26"/>
                <w:szCs w:val="26"/>
                <w:b w:val="1"/>
                <w:bCs w:val="1"/>
                <w:color w:val="auto"/>
                <w:w w:val="83"/>
                <w:vertAlign w:val="superscript"/>
              </w:rPr>
              <w:t>2</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21"/>
                <w:szCs w:val="21"/>
                <w:color w:val="auto"/>
              </w:rPr>
            </w:pPr>
          </w:p>
        </w:tc>
      </w:tr>
      <w:tr>
        <w:trPr>
          <w:trHeight w:val="191"/>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Syndicated term loan</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88,781</w:t>
            </w:r>
          </w:p>
        </w:tc>
        <w:tc>
          <w:tcPr>
            <w:tcW w:w="2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(4,670)</w:t>
            </w: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81,906</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760" w:type="dxa"/>
            <w:vAlign w:val="bottom"/>
          </w:tcPr>
          <w:p>
            <w:pPr>
              <w:spacing w:after="0"/>
              <w:rPr>
                <w:sz w:val="20"/>
                <w:szCs w:val="20"/>
                <w:color w:val="auto"/>
              </w:rPr>
            </w:pPr>
            <w:r>
              <w:rPr>
                <w:rFonts w:ascii="Arial" w:cs="Arial" w:eastAsia="Arial" w:hAnsi="Arial"/>
                <w:sz w:val="16"/>
                <w:szCs w:val="16"/>
                <w:color w:val="auto"/>
              </w:rPr>
              <w:t>Other term loan</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75,008</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(76,942)</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94,122</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(6,543)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85,645</w:t>
            </w:r>
          </w:p>
        </w:tc>
      </w:tr>
      <w:tr>
        <w:trPr>
          <w:trHeight w:val="191"/>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29,794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(5,733)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11,022</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36,799</w:t>
            </w:r>
          </w:p>
        </w:tc>
      </w:tr>
      <w:tr>
        <w:trPr>
          <w:trHeight w:val="191"/>
        </w:trPr>
        <w:tc>
          <w:tcPr>
            <w:tcW w:w="5760" w:type="dxa"/>
            <w:vAlign w:val="bottom"/>
          </w:tcPr>
          <w:p>
            <w:pPr>
              <w:spacing w:after="0"/>
              <w:rPr>
                <w:sz w:val="20"/>
                <w:szCs w:val="20"/>
                <w:color w:val="auto"/>
              </w:rPr>
            </w:pPr>
            <w:r>
              <w:rPr>
                <w:rFonts w:ascii="Arial" w:cs="Arial" w:eastAsia="Arial" w:hAnsi="Arial"/>
                <w:sz w:val="16"/>
                <w:szCs w:val="16"/>
                <w:color w:val="auto"/>
              </w:rPr>
              <w:t>Factoring obligations</w:t>
            </w:r>
          </w:p>
        </w:tc>
        <w:tc>
          <w:tcPr>
            <w:tcW w:w="900" w:type="dxa"/>
            <w:vAlign w:val="bottom"/>
          </w:tcPr>
          <w:p>
            <w:pPr>
              <w:jc w:val="right"/>
              <w:spacing w:after="0"/>
              <w:rPr>
                <w:sz w:val="20"/>
                <w:szCs w:val="20"/>
                <w:color w:val="auto"/>
              </w:rPr>
            </w:pPr>
            <w:r>
              <w:rPr>
                <w:rFonts w:ascii="Arial" w:cs="Arial" w:eastAsia="Arial" w:hAnsi="Arial"/>
                <w:sz w:val="16"/>
                <w:szCs w:val="16"/>
                <w:color w:val="auto"/>
              </w:rPr>
              <w:t>11,927</w:t>
            </w:r>
          </w:p>
        </w:tc>
        <w:tc>
          <w:tcPr>
            <w:tcW w:w="2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(38,953)</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35,040</w:t>
            </w:r>
          </w:p>
        </w:tc>
        <w:tc>
          <w:tcPr>
            <w:tcW w:w="880" w:type="dxa"/>
            <w:vAlign w:val="bottom"/>
          </w:tcPr>
          <w:p>
            <w:pPr>
              <w:jc w:val="right"/>
              <w:spacing w:after="0"/>
              <w:rPr>
                <w:sz w:val="20"/>
                <w:szCs w:val="20"/>
                <w:color w:val="auto"/>
              </w:rPr>
            </w:pPr>
            <w:r>
              <w:rPr>
                <w:rFonts w:ascii="Arial" w:cs="Arial" w:eastAsia="Arial" w:hAnsi="Arial"/>
                <w:sz w:val="16"/>
                <w:szCs w:val="16"/>
                <w:color w:val="auto"/>
              </w:rPr>
              <w:t>1,979</w:t>
            </w: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9,993</w:t>
            </w:r>
          </w:p>
        </w:tc>
      </w:tr>
      <w:tr>
        <w:trPr>
          <w:trHeight w:val="191"/>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Put option agreement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211,880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27,393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239,273</w:t>
            </w:r>
          </w:p>
        </w:tc>
      </w:tr>
      <w:tr>
        <w:trPr>
          <w:trHeight w:val="207"/>
        </w:trPr>
        <w:tc>
          <w:tcPr>
            <w:tcW w:w="5760" w:type="dxa"/>
            <w:vAlign w:val="bottom"/>
          </w:tcPr>
          <w:p>
            <w:pPr>
              <w:spacing w:after="0"/>
              <w:rPr>
                <w:sz w:val="20"/>
                <w:szCs w:val="20"/>
                <w:color w:val="auto"/>
              </w:rPr>
            </w:pPr>
            <w:r>
              <w:rPr>
                <w:rFonts w:ascii="Arial" w:cs="Arial" w:eastAsia="Arial" w:hAnsi="Arial"/>
                <w:sz w:val="16"/>
                <w:szCs w:val="16"/>
                <w:color w:val="auto"/>
              </w:rPr>
              <w:t>Bank overdrafts</w:t>
            </w:r>
          </w:p>
        </w:tc>
        <w:tc>
          <w:tcPr>
            <w:tcW w:w="900" w:type="dxa"/>
            <w:vAlign w:val="bottom"/>
          </w:tcPr>
          <w:p>
            <w:pPr>
              <w:jc w:val="right"/>
              <w:spacing w:after="0"/>
              <w:rPr>
                <w:sz w:val="20"/>
                <w:szCs w:val="20"/>
                <w:color w:val="auto"/>
              </w:rPr>
            </w:pPr>
            <w:r>
              <w:rPr>
                <w:rFonts w:ascii="Arial" w:cs="Arial" w:eastAsia="Arial" w:hAnsi="Arial"/>
                <w:sz w:val="16"/>
                <w:szCs w:val="16"/>
                <w:color w:val="auto"/>
              </w:rPr>
              <w:t>3,047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(21)</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(2,124)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902</w:t>
            </w:r>
          </w:p>
        </w:tc>
      </w:tr>
      <w:tr>
        <w:trPr>
          <w:trHeight w:val="195"/>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 from financing activities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420,437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(126,319</w:t>
            </w:r>
          </w:p>
        </w:tc>
        <w:tc>
          <w:tcPr>
            <w:tcW w:w="20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140,184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454,518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366"/>
        </w:trPr>
        <w:tc>
          <w:tcPr>
            <w:tcW w:w="576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January 1,</w:t>
            </w: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Payment</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New</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Other</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r>
      <w:tr>
        <w:trPr>
          <w:trHeight w:val="212"/>
        </w:trPr>
        <w:tc>
          <w:tcPr>
            <w:tcW w:w="57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4"/>
              </w:rPr>
              <w:t>2019</w:t>
            </w:r>
          </w:p>
        </w:tc>
        <w:tc>
          <w:tcPr>
            <w:tcW w:w="24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cash flows</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liabilities</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changes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r>
      <w:tr>
        <w:trPr>
          <w:trHeight w:val="191"/>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Syndicated term loan</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94,919</w:t>
            </w:r>
          </w:p>
        </w:tc>
        <w:tc>
          <w:tcPr>
            <w:tcW w:w="2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(5,770)</w:t>
            </w: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88,781</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760" w:type="dxa"/>
            <w:vAlign w:val="bottom"/>
          </w:tcPr>
          <w:p>
            <w:pPr>
              <w:spacing w:after="0"/>
              <w:rPr>
                <w:sz w:val="20"/>
                <w:szCs w:val="20"/>
                <w:color w:val="auto"/>
              </w:rPr>
            </w:pPr>
            <w:r>
              <w:rPr>
                <w:rFonts w:ascii="Arial" w:cs="Arial" w:eastAsia="Arial" w:hAnsi="Arial"/>
                <w:sz w:val="16"/>
                <w:szCs w:val="16"/>
                <w:color w:val="auto"/>
              </w:rPr>
              <w:t>Other term loan</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66,773</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(75,235)</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80,859</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2,611</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75,008</w:t>
            </w:r>
          </w:p>
        </w:tc>
      </w:tr>
      <w:tr>
        <w:trPr>
          <w:trHeight w:val="191"/>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30,843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(4,070)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(2,314)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29,794</w:t>
            </w:r>
          </w:p>
        </w:tc>
      </w:tr>
      <w:tr>
        <w:trPr>
          <w:trHeight w:val="191"/>
        </w:trPr>
        <w:tc>
          <w:tcPr>
            <w:tcW w:w="5760" w:type="dxa"/>
            <w:vAlign w:val="bottom"/>
          </w:tcPr>
          <w:p>
            <w:pPr>
              <w:spacing w:after="0"/>
              <w:rPr>
                <w:sz w:val="20"/>
                <w:szCs w:val="20"/>
                <w:color w:val="auto"/>
              </w:rPr>
            </w:pPr>
            <w:r>
              <w:rPr>
                <w:rFonts w:ascii="Arial" w:cs="Arial" w:eastAsia="Arial" w:hAnsi="Arial"/>
                <w:sz w:val="16"/>
                <w:szCs w:val="16"/>
                <w:color w:val="auto"/>
              </w:rPr>
              <w:t>Factoring obligations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12,807</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(37,412)</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38,019</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(1,487)</w:t>
            </w:r>
          </w:p>
        </w:tc>
        <w:tc>
          <w:tcPr>
            <w:tcW w:w="920" w:type="dxa"/>
            <w:vAlign w:val="bottom"/>
          </w:tcPr>
          <w:p>
            <w:pPr>
              <w:jc w:val="right"/>
              <w:spacing w:after="0"/>
              <w:rPr>
                <w:sz w:val="20"/>
                <w:szCs w:val="20"/>
                <w:color w:val="auto"/>
              </w:rPr>
            </w:pPr>
            <w:r>
              <w:rPr>
                <w:rFonts w:ascii="Arial" w:cs="Arial" w:eastAsia="Arial" w:hAnsi="Arial"/>
                <w:sz w:val="16"/>
                <w:szCs w:val="16"/>
                <w:color w:val="auto"/>
              </w:rPr>
              <w:t>11,927</w:t>
            </w:r>
          </w:p>
        </w:tc>
        <w:tc>
          <w:tcPr>
            <w:tcW w:w="120" w:type="dxa"/>
            <w:vAlign w:val="bottom"/>
          </w:tcPr>
          <w:p>
            <w:pPr>
              <w:spacing w:after="0"/>
              <w:rPr>
                <w:sz w:val="16"/>
                <w:szCs w:val="16"/>
                <w:color w:val="auto"/>
              </w:rPr>
            </w:pPr>
          </w:p>
        </w:tc>
      </w:tr>
      <w:tr>
        <w:trPr>
          <w:trHeight w:val="191"/>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Put option agreement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98,599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99,616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13,665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211,880</w:t>
            </w:r>
          </w:p>
        </w:tc>
      </w:tr>
      <w:tr>
        <w:trPr>
          <w:trHeight w:val="207"/>
        </w:trPr>
        <w:tc>
          <w:tcPr>
            <w:tcW w:w="5760" w:type="dxa"/>
            <w:vAlign w:val="bottom"/>
          </w:tcPr>
          <w:p>
            <w:pPr>
              <w:spacing w:after="0"/>
              <w:rPr>
                <w:sz w:val="20"/>
                <w:szCs w:val="20"/>
                <w:color w:val="auto"/>
              </w:rPr>
            </w:pPr>
            <w:r>
              <w:rPr>
                <w:rFonts w:ascii="Arial" w:cs="Arial" w:eastAsia="Arial" w:hAnsi="Arial"/>
                <w:sz w:val="16"/>
                <w:szCs w:val="16"/>
                <w:color w:val="auto"/>
              </w:rPr>
              <w:t>Bank overdrafts</w:t>
            </w:r>
          </w:p>
        </w:tc>
        <w:tc>
          <w:tcPr>
            <w:tcW w:w="900" w:type="dxa"/>
            <w:vAlign w:val="bottom"/>
          </w:tcPr>
          <w:p>
            <w:pPr>
              <w:jc w:val="right"/>
              <w:spacing w:after="0"/>
              <w:rPr>
                <w:sz w:val="20"/>
                <w:szCs w:val="20"/>
                <w:color w:val="auto"/>
              </w:rPr>
            </w:pPr>
            <w:r>
              <w:rPr>
                <w:rFonts w:ascii="Arial" w:cs="Arial" w:eastAsia="Arial" w:hAnsi="Arial"/>
                <w:sz w:val="16"/>
                <w:szCs w:val="16"/>
                <w:color w:val="auto"/>
              </w:rPr>
              <w:t>1,236</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1,811</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3,047</w:t>
            </w:r>
          </w:p>
        </w:tc>
      </w:tr>
      <w:tr>
        <w:trPr>
          <w:trHeight w:val="195"/>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 from financing activities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305,177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(122,487</w:t>
            </w:r>
          </w:p>
        </w:tc>
        <w:tc>
          <w:tcPr>
            <w:tcW w:w="20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223,829</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13,918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420,437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18" w:lineRule="exact"/>
        <w:rPr>
          <w:sz w:val="20"/>
          <w:szCs w:val="20"/>
          <w:color w:val="auto"/>
        </w:rPr>
      </w:pPr>
    </w:p>
    <w:p>
      <w:pPr>
        <w:ind w:left="284" w:hanging="284"/>
        <w:spacing w:after="0"/>
        <w:tabs>
          <w:tab w:leader="none" w:pos="284" w:val="left"/>
        </w:tabs>
        <w:numPr>
          <w:ilvl w:val="0"/>
          <w:numId w:val="99"/>
        </w:numPr>
        <w:rPr>
          <w:rFonts w:ascii="Arial" w:cs="Arial" w:eastAsia="Arial" w:hAnsi="Arial"/>
          <w:sz w:val="23"/>
          <w:szCs w:val="23"/>
          <w:color w:val="auto"/>
          <w:vertAlign w:val="superscript"/>
        </w:rPr>
      </w:pPr>
      <w:r>
        <w:rPr>
          <w:rFonts w:ascii="Arial" w:cs="Arial" w:eastAsia="Arial" w:hAnsi="Arial"/>
          <w:sz w:val="14"/>
          <w:szCs w:val="14"/>
          <w:color w:val="auto"/>
        </w:rPr>
        <w:t>New liabilities include non-cash activities for invoices from suppliers financed via reverse factoring $48,138 (2020: $22,426, 2019: $22,486) and acquisition of right-of-use</w:t>
      </w:r>
    </w:p>
    <w:p>
      <w:pPr>
        <w:spacing w:after="0" w:line="1" w:lineRule="exact"/>
        <w:rPr>
          <w:rFonts w:ascii="Arial" w:cs="Arial" w:eastAsia="Arial" w:hAnsi="Arial"/>
          <w:sz w:val="23"/>
          <w:szCs w:val="23"/>
          <w:color w:val="auto"/>
          <w:vertAlign w:val="superscript"/>
        </w:rPr>
      </w:pPr>
    </w:p>
    <w:p>
      <w:pPr>
        <w:ind w:left="284"/>
        <w:spacing w:after="0"/>
        <w:rPr>
          <w:rFonts w:ascii="Arial" w:cs="Arial" w:eastAsia="Arial" w:hAnsi="Arial"/>
          <w:sz w:val="23"/>
          <w:szCs w:val="23"/>
          <w:color w:val="auto"/>
          <w:vertAlign w:val="superscript"/>
        </w:rPr>
      </w:pPr>
      <w:r>
        <w:rPr>
          <w:rFonts w:ascii="Arial" w:cs="Arial" w:eastAsia="Arial" w:hAnsi="Arial"/>
          <w:sz w:val="16"/>
          <w:szCs w:val="16"/>
          <w:color w:val="auto"/>
        </w:rPr>
        <w:t>assets $7,283 (2020: $11,022, 2019: $5,335). For the year ended December 31, 2019, it also included the issuance of put option agreements for $99,616.</w:t>
      </w:r>
    </w:p>
    <w:p>
      <w:pPr>
        <w:spacing w:after="0" w:line="6" w:lineRule="exact"/>
        <w:rPr>
          <w:sz w:val="20"/>
          <w:szCs w:val="20"/>
          <w:color w:val="auto"/>
        </w:rPr>
      </w:pPr>
    </w:p>
    <w:p>
      <w:pPr>
        <w:ind w:left="284" w:right="20" w:hanging="284"/>
        <w:spacing w:after="0" w:line="185" w:lineRule="auto"/>
        <w:tabs>
          <w:tab w:leader="none" w:pos="284" w:val="left"/>
        </w:tabs>
        <w:numPr>
          <w:ilvl w:val="0"/>
          <w:numId w:val="100"/>
        </w:numPr>
        <w:rPr>
          <w:rFonts w:ascii="Arial" w:cs="Arial" w:eastAsia="Arial" w:hAnsi="Arial"/>
          <w:sz w:val="27"/>
          <w:szCs w:val="27"/>
          <w:color w:val="auto"/>
          <w:vertAlign w:val="superscript"/>
        </w:rPr>
      </w:pPr>
      <w:r>
        <w:rPr>
          <w:rFonts w:ascii="Arial" w:cs="Arial" w:eastAsia="Arial" w:hAnsi="Arial"/>
          <w:sz w:val="16"/>
          <w:szCs w:val="16"/>
          <w:color w:val="auto"/>
        </w:rPr>
        <w:t>Other changes include exchange differences and in 2021 the termination of the put option agreements in exchange for new equity instruments in Procaps Group S.A. Refer to Note 19.5. Put option agreement</w:t>
      </w:r>
    </w:p>
    <w:p>
      <w:pPr>
        <w:spacing w:after="0" w:line="37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185" w:name="page186"/>
    <w:bookmarkEnd w:id="185"/>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7320" w:type="dxa"/>
            <w:vAlign w:val="bottom"/>
          </w:tcPr>
          <w:p>
            <w:pPr>
              <w:spacing w:after="0"/>
              <w:rPr>
                <w:sz w:val="20"/>
                <w:szCs w:val="20"/>
                <w:color w:val="auto"/>
              </w:rPr>
            </w:pPr>
            <w:r>
              <w:rPr>
                <w:rFonts w:ascii="Arial" w:cs="Arial" w:eastAsia="Arial" w:hAnsi="Arial"/>
                <w:sz w:val="16"/>
                <w:szCs w:val="16"/>
                <w:b w:val="1"/>
                <w:bCs w:val="1"/>
                <w:color w:val="auto"/>
              </w:rPr>
              <w:t>Note 20. Deferred tax</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7320" w:type="dxa"/>
            <w:vAlign w:val="bottom"/>
          </w:tcPr>
          <w:p>
            <w:pPr>
              <w:spacing w:after="0"/>
              <w:rPr>
                <w:sz w:val="20"/>
                <w:szCs w:val="20"/>
                <w:color w:val="auto"/>
              </w:rPr>
            </w:pPr>
            <w:r>
              <w:rPr>
                <w:rFonts w:ascii="Arial" w:cs="Arial" w:eastAsia="Arial" w:hAnsi="Arial"/>
                <w:sz w:val="16"/>
                <w:szCs w:val="16"/>
                <w:color w:val="auto"/>
              </w:rPr>
              <w:t>The deferred tax assets and liabilities by type of temporary difference are as follows: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As of December 31</w:t>
            </w:r>
          </w:p>
        </w:tc>
      </w:tr>
      <w:tr>
        <w:trPr>
          <w:trHeight w:val="207"/>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r>
      <w:tr>
        <w:trPr>
          <w:trHeight w:val="191"/>
        </w:trPr>
        <w:tc>
          <w:tcPr>
            <w:tcW w:w="7320" w:type="dxa"/>
            <w:vAlign w:val="bottom"/>
          </w:tcPr>
          <w:p>
            <w:pPr>
              <w:spacing w:after="0"/>
              <w:rPr>
                <w:sz w:val="20"/>
                <w:szCs w:val="20"/>
                <w:color w:val="auto"/>
              </w:rPr>
            </w:pPr>
            <w:r>
              <w:rPr>
                <w:rFonts w:ascii="Arial" w:cs="Arial" w:eastAsia="Arial" w:hAnsi="Arial"/>
                <w:sz w:val="16"/>
                <w:szCs w:val="16"/>
                <w:b w:val="1"/>
                <w:bCs w:val="1"/>
                <w:color w:val="auto"/>
              </w:rPr>
              <w:t>Net deferred tax asset (liability)</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receivables</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(1,357)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(3,301)</w:t>
            </w: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Inventories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6"/>
                <w:szCs w:val="16"/>
                <w:color w:val="auto"/>
              </w:rPr>
              <w:t>3,142</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1,735</w:t>
            </w: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(3,486)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(6,817)</w:t>
            </w: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Intangibles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5"/>
          </w:tcPr>
          <w:p>
            <w:pPr>
              <w:jc w:val="right"/>
              <w:ind w:right="180"/>
              <w:spacing w:after="0"/>
              <w:rPr>
                <w:sz w:val="20"/>
                <w:szCs w:val="20"/>
                <w:color w:val="auto"/>
              </w:rPr>
            </w:pPr>
            <w:r>
              <w:rPr>
                <w:rFonts w:ascii="Arial" w:cs="Arial" w:eastAsia="Arial" w:hAnsi="Arial"/>
                <w:sz w:val="16"/>
                <w:szCs w:val="16"/>
                <w:color w:val="auto"/>
              </w:rPr>
              <w:t>(875)</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(634)</w:t>
            </w: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Borrowings and Trade and other payables</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3,639</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3,071</w:t>
            </w: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Provisions and Other liabilities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6"/>
                <w:szCs w:val="16"/>
                <w:color w:val="auto"/>
              </w:rPr>
              <w:t>1,005</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737</w:t>
            </w: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(1,071)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8,088</w:t>
            </w:r>
          </w:p>
        </w:tc>
      </w:tr>
      <w:tr>
        <w:trPr>
          <w:trHeight w:val="179"/>
        </w:trPr>
        <w:tc>
          <w:tcPr>
            <w:tcW w:w="732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 net deferred tax asset (liability)</w:t>
            </w:r>
          </w:p>
        </w:tc>
        <w:tc>
          <w:tcPr>
            <w:tcW w:w="1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997</w:t>
            </w: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2,879</w:t>
            </w:r>
          </w:p>
        </w:tc>
        <w:tc>
          <w:tcPr>
            <w:tcW w:w="120" w:type="dxa"/>
            <w:vAlign w:val="bottom"/>
            <w:tcBorders>
              <w:top w:val="single" w:sz="8" w:color="CCEEFF"/>
            </w:tcBorders>
          </w:tcPr>
          <w:p>
            <w:pPr>
              <w:spacing w:after="0"/>
              <w:rPr>
                <w:sz w:val="15"/>
                <w:szCs w:val="15"/>
                <w:color w:val="auto"/>
              </w:rPr>
            </w:pPr>
          </w:p>
        </w:tc>
      </w:tr>
      <w:tr>
        <w:trPr>
          <w:trHeight w:val="398"/>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As of December 31</w:t>
            </w:r>
          </w:p>
        </w:tc>
      </w:tr>
      <w:tr>
        <w:trPr>
          <w:trHeight w:val="207"/>
        </w:trPr>
        <w:tc>
          <w:tcPr>
            <w:tcW w:w="73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7,067</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21,769</w:t>
            </w:r>
          </w:p>
        </w:tc>
        <w:tc>
          <w:tcPr>
            <w:tcW w:w="120" w:type="dxa"/>
            <w:vAlign w:val="bottom"/>
            <w:shd w:val="clear" w:color="auto" w:fill="CCEEFF"/>
          </w:tcPr>
          <w:p>
            <w:pPr>
              <w:spacing w:after="0"/>
              <w:rPr>
                <w:sz w:val="16"/>
                <w:szCs w:val="16"/>
                <w:color w:val="auto"/>
              </w:rPr>
            </w:pPr>
          </w:p>
        </w:tc>
      </w:tr>
      <w:tr>
        <w:trPr>
          <w:trHeight w:val="207"/>
        </w:trPr>
        <w:tc>
          <w:tcPr>
            <w:tcW w:w="7320" w:type="dxa"/>
            <w:vAlign w:val="bottom"/>
          </w:tcPr>
          <w:p>
            <w:pPr>
              <w:spacing w:after="0"/>
              <w:rPr>
                <w:sz w:val="20"/>
                <w:szCs w:val="20"/>
                <w:color w:val="auto"/>
              </w:rPr>
            </w:pPr>
            <w:r>
              <w:rPr>
                <w:rFonts w:ascii="Arial" w:cs="Arial" w:eastAsia="Arial" w:hAnsi="Arial"/>
                <w:sz w:val="16"/>
                <w:szCs w:val="16"/>
                <w:color w:val="auto"/>
              </w:rPr>
              <w:t>Deferred Tax Liability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5"/>
          </w:tcPr>
          <w:p>
            <w:pPr>
              <w:jc w:val="right"/>
              <w:ind w:right="180"/>
              <w:spacing w:after="0"/>
              <w:rPr>
                <w:sz w:val="20"/>
                <w:szCs w:val="20"/>
                <w:color w:val="auto"/>
              </w:rPr>
            </w:pPr>
            <w:r>
              <w:rPr>
                <w:rFonts w:ascii="Arial" w:cs="Arial" w:eastAsia="Arial" w:hAnsi="Arial"/>
                <w:sz w:val="16"/>
                <w:szCs w:val="16"/>
                <w:color w:val="auto"/>
              </w:rPr>
              <w:t>(6,070)</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(18,890)</w:t>
            </w:r>
          </w:p>
        </w:tc>
      </w:tr>
      <w:tr>
        <w:trPr>
          <w:trHeight w:val="195"/>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Deferred Tax Asset (Liability)</w:t>
            </w: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997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398"/>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6"/>
                <w:szCs w:val="16"/>
                <w:b w:val="1"/>
                <w:bCs w:val="1"/>
                <w:color w:val="auto"/>
                <w:w w:val="90"/>
              </w:rPr>
              <w:t>As of December 31</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7320" w:type="dxa"/>
            <w:vAlign w:val="bottom"/>
          </w:tcPr>
          <w:p>
            <w:pPr>
              <w:spacing w:after="0"/>
              <w:rPr>
                <w:sz w:val="18"/>
                <w:szCs w:val="18"/>
                <w:color w:val="auto"/>
              </w:rPr>
            </w:pP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91"/>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on January 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gridSpan w:val="2"/>
            <w:shd w:val="clear" w:color="auto" w:fill="CCEEFF"/>
          </w:tcPr>
          <w:p>
            <w:pPr>
              <w:spacing w:after="0"/>
              <w:rPr>
                <w:sz w:val="16"/>
                <w:szCs w:val="16"/>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8,556</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7,396</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Recognized in Profit and Loss</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(1,455)</w:t>
            </w:r>
          </w:p>
        </w:tc>
        <w:tc>
          <w:tcPr>
            <w:tcW w:w="1480" w:type="dxa"/>
            <w:vAlign w:val="bottom"/>
            <w:gridSpan w:val="5"/>
          </w:tcPr>
          <w:p>
            <w:pPr>
              <w:jc w:val="right"/>
              <w:ind w:right="160"/>
              <w:spacing w:after="0"/>
              <w:rPr>
                <w:sz w:val="20"/>
                <w:szCs w:val="20"/>
                <w:color w:val="auto"/>
              </w:rPr>
            </w:pPr>
            <w:r>
              <w:rPr>
                <w:rFonts w:ascii="Arial" w:cs="Arial" w:eastAsia="Arial" w:hAnsi="Arial"/>
                <w:sz w:val="16"/>
                <w:szCs w:val="16"/>
                <w:color w:val="auto"/>
              </w:rPr>
              <w:t>(3,805)</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1,083</w:t>
            </w:r>
          </w:p>
        </w:tc>
      </w:tr>
      <w:tr>
        <w:trPr>
          <w:trHeight w:val="227"/>
        </w:trPr>
        <w:tc>
          <w:tcPr>
            <w:tcW w:w="73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Recognized in Other Comprehensive Income </w:t>
            </w:r>
            <w:r>
              <w:rPr>
                <w:rFonts w:ascii="Arial" w:cs="Arial" w:eastAsia="Arial" w:hAnsi="Arial"/>
                <w:sz w:val="26"/>
                <w:szCs w:val="26"/>
                <w:color w:val="auto"/>
                <w:vertAlign w:val="superscript"/>
              </w:rPr>
              <w:t>1</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w:t>
            </w:r>
          </w:p>
        </w:tc>
      </w:tr>
      <w:tr>
        <w:trPr>
          <w:trHeight w:val="243"/>
        </w:trPr>
        <w:tc>
          <w:tcPr>
            <w:tcW w:w="7320" w:type="dxa"/>
            <w:vAlign w:val="bottom"/>
          </w:tcPr>
          <w:p>
            <w:pPr>
              <w:spacing w:after="0" w:line="238" w:lineRule="exact"/>
              <w:rPr>
                <w:sz w:val="20"/>
                <w:szCs w:val="20"/>
                <w:color w:val="auto"/>
              </w:rPr>
            </w:pPr>
            <w:r>
              <w:rPr>
                <w:rFonts w:ascii="Arial" w:cs="Arial" w:eastAsia="Arial" w:hAnsi="Arial"/>
                <w:sz w:val="16"/>
                <w:szCs w:val="16"/>
                <w:color w:val="auto"/>
              </w:rPr>
              <w:t xml:space="preserve">Others </w:t>
            </w:r>
            <w:r>
              <w:rPr>
                <w:rFonts w:ascii="Arial" w:cs="Arial" w:eastAsia="Arial" w:hAnsi="Arial"/>
                <w:sz w:val="26"/>
                <w:szCs w:val="26"/>
                <w:color w:val="auto"/>
                <w:vertAlign w:val="superscript"/>
              </w:rPr>
              <w:t>2</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(369)</w:t>
            </w:r>
          </w:p>
        </w:tc>
        <w:tc>
          <w:tcPr>
            <w:tcW w:w="1480" w:type="dxa"/>
            <w:vAlign w:val="bottom"/>
            <w:gridSpan w:val="5"/>
          </w:tcPr>
          <w:p>
            <w:pPr>
              <w:jc w:val="right"/>
              <w:ind w:right="160"/>
              <w:spacing w:after="0"/>
              <w:rPr>
                <w:sz w:val="20"/>
                <w:szCs w:val="20"/>
                <w:color w:val="auto"/>
              </w:rPr>
            </w:pPr>
            <w:r>
              <w:rPr>
                <w:rFonts w:ascii="Arial" w:cs="Arial" w:eastAsia="Arial" w:hAnsi="Arial"/>
                <w:sz w:val="16"/>
                <w:szCs w:val="16"/>
                <w:color w:val="auto"/>
              </w:rPr>
              <w:t>(1,888)</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120</w:t>
            </w:r>
          </w:p>
        </w:tc>
      </w:tr>
      <w:tr>
        <w:trPr>
          <w:trHeight w:val="195"/>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2,879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8,556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72" w:lineRule="exact"/>
        <w:rPr>
          <w:sz w:val="20"/>
          <w:szCs w:val="20"/>
          <w:color w:val="auto"/>
        </w:rPr>
      </w:pPr>
    </w:p>
    <w:p>
      <w:pPr>
        <w:ind w:left="284" w:hanging="284"/>
        <w:spacing w:after="0"/>
        <w:tabs>
          <w:tab w:leader="none" w:pos="284" w:val="left"/>
        </w:tabs>
        <w:numPr>
          <w:ilvl w:val="0"/>
          <w:numId w:val="101"/>
        </w:numPr>
        <w:rPr>
          <w:rFonts w:ascii="Arial" w:cs="Arial" w:eastAsia="Arial" w:hAnsi="Arial"/>
          <w:sz w:val="27"/>
          <w:szCs w:val="27"/>
          <w:color w:val="auto"/>
          <w:vertAlign w:val="superscript"/>
        </w:rPr>
      </w:pPr>
      <w:r>
        <w:rPr>
          <w:rFonts w:ascii="Arial" w:cs="Arial" w:eastAsia="Arial" w:hAnsi="Arial"/>
          <w:sz w:val="16"/>
          <w:szCs w:val="16"/>
          <w:color w:val="auto"/>
        </w:rPr>
        <w:t>Deferred tax related to employee defined benefit plans.</w:t>
      </w:r>
    </w:p>
    <w:p>
      <w:pPr>
        <w:ind w:left="284" w:hanging="284"/>
        <w:spacing w:after="0" w:line="181" w:lineRule="auto"/>
        <w:tabs>
          <w:tab w:leader="none" w:pos="284" w:val="left"/>
        </w:tabs>
        <w:numPr>
          <w:ilvl w:val="0"/>
          <w:numId w:val="102"/>
        </w:numPr>
        <w:rPr>
          <w:rFonts w:ascii="Arial" w:cs="Arial" w:eastAsia="Arial" w:hAnsi="Arial"/>
          <w:sz w:val="22"/>
          <w:szCs w:val="22"/>
          <w:color w:val="auto"/>
          <w:vertAlign w:val="superscript"/>
        </w:rPr>
      </w:pPr>
      <w:r>
        <w:rPr>
          <w:rFonts w:ascii="Arial" w:cs="Arial" w:eastAsia="Arial" w:hAnsi="Arial"/>
          <w:sz w:val="14"/>
          <w:szCs w:val="14"/>
          <w:color w:val="auto"/>
        </w:rPr>
        <w:t>Deferred tax related to the purchase price acquisition of intangible assets in Procaps S.A. de C.V. (previously Laboratorios Lopez S.A. de C.V.).</w:t>
      </w:r>
    </w:p>
    <w:p>
      <w:pPr>
        <w:spacing w:after="0" w:line="179" w:lineRule="exact"/>
        <w:rPr>
          <w:sz w:val="20"/>
          <w:szCs w:val="20"/>
          <w:color w:val="auto"/>
        </w:rPr>
      </w:pPr>
    </w:p>
    <w:p>
      <w:pPr>
        <w:jc w:val="both"/>
        <w:ind w:left="4"/>
        <w:spacing w:after="0" w:line="301" w:lineRule="auto"/>
        <w:rPr>
          <w:sz w:val="20"/>
          <w:szCs w:val="20"/>
          <w:color w:val="auto"/>
        </w:rPr>
      </w:pPr>
      <w:r>
        <w:rPr>
          <w:rFonts w:ascii="Arial" w:cs="Arial" w:eastAsia="Arial" w:hAnsi="Arial"/>
          <w:sz w:val="14"/>
          <w:szCs w:val="14"/>
          <w:color w:val="auto"/>
        </w:rPr>
        <w:t>The deferred tax assets are ordinary in character and comprised of temporary differences primarily related to the impairment of trade receivable for financial reporting purposes, differences in the financial statement carrying amount and tax basis of inventories, property, plant and equipment, intangibles, borrowings, provisions, and others. As of December 31, 2021 and 2020, the deferred tax asset balance does not comprise unused tax losses or unused tax credits. Given the expected near-term reversal of the deductible temporary differences giving rise to deferred tax assets, it is probable that future taxable profit will be available as a result of reversing taxable temporary differences to realize the tax benefit of the deferred tax assets either in the year of reversal or within the twelve year carryforward period permitted by Colombian income tax law.</w:t>
      </w:r>
    </w:p>
    <w:p>
      <w:pPr>
        <w:spacing w:after="0" w:line="32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There was a deferred tax asset that would have been recognized for $1,135 as of December 31, 2021 for temporary differences of $3,242 related to subsidiary Rymco Medical’s fiscal losses. However, this asset was not recognized because the Group’s management considers that there is no certainty of future taxable income available for compensation. Likewise, no deferred tax liabilities have been recognized from those entities in which the Group has control and in the foreseeable future it is not expected that the same will be carried out.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40" w:type="dxa"/>
            <w:vAlign w:val="bottom"/>
          </w:tcPr>
          <w:p>
            <w:pPr>
              <w:spacing w:after="0"/>
              <w:rPr>
                <w:sz w:val="20"/>
                <w:szCs w:val="20"/>
                <w:color w:val="auto"/>
              </w:rPr>
            </w:pPr>
            <w:r>
              <w:rPr>
                <w:rFonts w:ascii="Arial" w:cs="Arial" w:eastAsia="Arial" w:hAnsi="Arial"/>
                <w:sz w:val="16"/>
                <w:szCs w:val="16"/>
                <w:b w:val="1"/>
                <w:bCs w:val="1"/>
                <w:color w:val="auto"/>
              </w:rPr>
              <w:t>Note 21. Trade and other payables, net</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8"/>
        </w:trPr>
        <w:tc>
          <w:tcPr>
            <w:tcW w:w="5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w w:val="90"/>
              </w:rPr>
              <w:t>As of December 31</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7"/>
        </w:trPr>
        <w:tc>
          <w:tcPr>
            <w:tcW w:w="5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6"/>
                <w:szCs w:val="16"/>
                <w:color w:val="auto"/>
              </w:rPr>
            </w:pPr>
          </w:p>
        </w:tc>
      </w:tr>
      <w:tr>
        <w:trPr>
          <w:trHeight w:val="212"/>
        </w:trPr>
        <w:tc>
          <w:tcPr>
            <w:tcW w:w="5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Restated</w:t>
            </w: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Restated</w:t>
            </w:r>
          </w:p>
        </w:tc>
      </w:tr>
      <w:tr>
        <w:trPr>
          <w:trHeight w:val="191"/>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Trade payables</w:t>
            </w:r>
          </w:p>
        </w:tc>
        <w:tc>
          <w:tcPr>
            <w:tcW w:w="2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70,167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84,480</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94,207</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payables</w:t>
            </w:r>
          </w:p>
        </w:tc>
        <w:tc>
          <w:tcPr>
            <w:tcW w:w="2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040" w:type="dxa"/>
            <w:vAlign w:val="bottom"/>
          </w:tcPr>
          <w:p>
            <w:pPr>
              <w:spacing w:after="0"/>
              <w:rPr>
                <w:sz w:val="20"/>
                <w:szCs w:val="20"/>
                <w:color w:val="auto"/>
              </w:rPr>
            </w:pPr>
            <w:r>
              <w:rPr>
                <w:rFonts w:ascii="Arial" w:cs="Arial" w:eastAsia="Arial" w:hAnsi="Arial"/>
                <w:sz w:val="16"/>
                <w:szCs w:val="16"/>
                <w:color w:val="auto"/>
              </w:rPr>
              <w:t>Trade current accounts</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3,259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4,277</w:t>
            </w:r>
          </w:p>
        </w:tc>
      </w:tr>
      <w:tr>
        <w:trPr>
          <w:trHeight w:val="191"/>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Interest payable</w:t>
            </w:r>
          </w:p>
        </w:tc>
        <w:tc>
          <w:tcPr>
            <w:tcW w:w="2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1,870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1,525</w:t>
            </w:r>
          </w:p>
        </w:tc>
      </w:tr>
      <w:tr>
        <w:trPr>
          <w:trHeight w:val="191"/>
        </w:trPr>
        <w:tc>
          <w:tcPr>
            <w:tcW w:w="5040" w:type="dxa"/>
            <w:vAlign w:val="bottom"/>
          </w:tcPr>
          <w:p>
            <w:pPr>
              <w:spacing w:after="0"/>
              <w:rPr>
                <w:sz w:val="20"/>
                <w:szCs w:val="20"/>
                <w:color w:val="auto"/>
              </w:rPr>
            </w:pPr>
            <w:r>
              <w:rPr>
                <w:rFonts w:ascii="Arial" w:cs="Arial" w:eastAsia="Arial" w:hAnsi="Arial"/>
                <w:sz w:val="16"/>
                <w:szCs w:val="16"/>
                <w:color w:val="auto"/>
              </w:rPr>
              <w:t>Withholdings and payroll contributions</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6,619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2,831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3,243</w:t>
            </w:r>
          </w:p>
        </w:tc>
      </w:tr>
      <w:tr>
        <w:trPr>
          <w:trHeight w:val="223"/>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2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3,466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1,356</w:t>
            </w:r>
          </w:p>
        </w:tc>
      </w:tr>
      <w:tr>
        <w:trPr>
          <w:trHeight w:val="179"/>
        </w:trPr>
        <w:tc>
          <w:tcPr>
            <w:tcW w:w="504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 other payables</w:t>
            </w:r>
          </w:p>
        </w:tc>
        <w:tc>
          <w:tcPr>
            <w:tcW w:w="22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15,214</w:t>
            </w:r>
          </w:p>
        </w:tc>
        <w:tc>
          <w:tcPr>
            <w:tcW w:w="10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9,636</w:t>
            </w:r>
          </w:p>
        </w:tc>
        <w:tc>
          <w:tcPr>
            <w:tcW w:w="2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10,401</w:t>
            </w:r>
          </w:p>
        </w:tc>
        <w:tc>
          <w:tcPr>
            <w:tcW w:w="120" w:type="dxa"/>
            <w:vAlign w:val="bottom"/>
            <w:tcBorders>
              <w:top w:val="single" w:sz="8" w:color="CCEEFF"/>
              <w:bottom w:val="single" w:sz="8" w:color="CCEEFF"/>
            </w:tcBorders>
          </w:tcPr>
          <w:p>
            <w:pPr>
              <w:spacing w:after="0"/>
              <w:rPr>
                <w:sz w:val="15"/>
                <w:szCs w:val="15"/>
                <w:color w:val="auto"/>
              </w:rPr>
            </w:pPr>
          </w:p>
        </w:tc>
      </w:tr>
      <w:tr>
        <w:trPr>
          <w:trHeight w:val="211"/>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accounts payable</w:t>
            </w:r>
          </w:p>
        </w:tc>
        <w:tc>
          <w:tcPr>
            <w:tcW w:w="2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85,381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94,116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104,608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366"/>
        </w:trPr>
        <w:tc>
          <w:tcPr>
            <w:tcW w:w="5040" w:type="dxa"/>
            <w:vAlign w:val="bottom"/>
          </w:tcPr>
          <w:p>
            <w:pPr>
              <w:spacing w:after="0"/>
              <w:rPr>
                <w:sz w:val="20"/>
                <w:szCs w:val="20"/>
                <w:color w:val="auto"/>
              </w:rPr>
            </w:pPr>
            <w:r>
              <w:rPr>
                <w:rFonts w:ascii="Arial" w:cs="Arial" w:eastAsia="Arial" w:hAnsi="Arial"/>
                <w:sz w:val="16"/>
                <w:szCs w:val="16"/>
                <w:b w:val="1"/>
                <w:bCs w:val="1"/>
                <w:color w:val="auto"/>
              </w:rPr>
              <w:t>Note 22. Provisions and contingencies</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5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r>
      <w:tr>
        <w:trPr>
          <w:trHeight w:val="191"/>
        </w:trPr>
        <w:tc>
          <w:tcPr>
            <w:tcW w:w="5040" w:type="dxa"/>
            <w:vAlign w:val="bottom"/>
          </w:tcPr>
          <w:p>
            <w:pPr>
              <w:spacing w:after="0"/>
              <w:rPr>
                <w:sz w:val="20"/>
                <w:szCs w:val="20"/>
                <w:color w:val="auto"/>
              </w:rPr>
            </w:pPr>
            <w:r>
              <w:rPr>
                <w:rFonts w:ascii="Arial" w:cs="Arial" w:eastAsia="Arial" w:hAnsi="Arial"/>
                <w:sz w:val="16"/>
                <w:szCs w:val="16"/>
                <w:b w:val="1"/>
                <w:bCs w:val="1"/>
                <w:color w:val="auto"/>
              </w:rPr>
              <w:t>Contingencies</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Balance as of January 1</w:t>
            </w:r>
          </w:p>
        </w:tc>
        <w:tc>
          <w:tcPr>
            <w:tcW w:w="25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1,829</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2,276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2,379</w:t>
            </w:r>
          </w:p>
        </w:tc>
      </w:tr>
      <w:tr>
        <w:trPr>
          <w:trHeight w:val="191"/>
        </w:trPr>
        <w:tc>
          <w:tcPr>
            <w:tcW w:w="5040" w:type="dxa"/>
            <w:vAlign w:val="bottom"/>
          </w:tcPr>
          <w:p>
            <w:pPr>
              <w:spacing w:after="0"/>
              <w:rPr>
                <w:sz w:val="20"/>
                <w:szCs w:val="20"/>
                <w:color w:val="auto"/>
              </w:rPr>
            </w:pPr>
            <w:r>
              <w:rPr>
                <w:rFonts w:ascii="Arial" w:cs="Arial" w:eastAsia="Arial" w:hAnsi="Arial"/>
                <w:sz w:val="16"/>
                <w:szCs w:val="16"/>
                <w:color w:val="auto"/>
              </w:rPr>
              <w:t>Effect of changes in foreign exchange rates</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(209)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(387)</w:t>
            </w:r>
          </w:p>
        </w:tc>
        <w:tc>
          <w:tcPr>
            <w:tcW w:w="16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(77)</w:t>
            </w:r>
          </w:p>
        </w:tc>
      </w:tr>
      <w:tr>
        <w:trPr>
          <w:trHeight w:val="191"/>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Provisions made</w:t>
            </w:r>
          </w:p>
        </w:tc>
        <w:tc>
          <w:tcPr>
            <w:tcW w:w="2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761</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6"/>
                <w:szCs w:val="16"/>
                <w:color w:val="auto"/>
              </w:rPr>
            </w:pPr>
          </w:p>
        </w:tc>
      </w:tr>
      <w:tr>
        <w:trPr>
          <w:trHeight w:val="207"/>
        </w:trPr>
        <w:tc>
          <w:tcPr>
            <w:tcW w:w="5040" w:type="dxa"/>
            <w:vAlign w:val="bottom"/>
          </w:tcPr>
          <w:p>
            <w:pPr>
              <w:spacing w:after="0"/>
              <w:rPr>
                <w:sz w:val="20"/>
                <w:szCs w:val="20"/>
                <w:color w:val="auto"/>
              </w:rPr>
            </w:pPr>
            <w:r>
              <w:rPr>
                <w:rFonts w:ascii="Arial" w:cs="Arial" w:eastAsia="Arial" w:hAnsi="Arial"/>
                <w:sz w:val="16"/>
                <w:szCs w:val="16"/>
                <w:color w:val="auto"/>
              </w:rPr>
              <w:t>Provisions used</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(1,119)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(821)</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r>
      <w:tr>
        <w:trPr>
          <w:trHeight w:val="195"/>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w:t>
            </w:r>
          </w:p>
        </w:tc>
        <w:tc>
          <w:tcPr>
            <w:tcW w:w="22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 recognizes provisions for contingencies that are probable of requiring an outflow of resources due to adverse effects. Such contingencies are disclosed with possible adverse effects for the entity, as follows: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provisions</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i w:val="1"/>
          <w:iCs w:val="1"/>
          <w:color w:val="auto"/>
        </w:rPr>
        <w:t xml:space="preserve">Softcaps legal proceedings </w:t>
      </w:r>
      <w:r>
        <w:rPr>
          <w:rFonts w:ascii="Arial" w:cs="Arial" w:eastAsia="Arial" w:hAnsi="Arial"/>
          <w:sz w:val="16"/>
          <w:szCs w:val="16"/>
          <w:color w:val="auto"/>
        </w:rPr>
        <w:t>- Provisions for legal proceedings are recognized for the estimated probable losses against the company for labor, administrative and tax litigation,</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calculated based on the best estimate of the disbursement required to cancel the obligation at the date of preparation of the consolidated financial statements. The total balance of $459 (2020: $630, 2019: $1,777) is comprised of $60 (2020: $108, 2019: $248) for labor litigation, $52 (2020: $154, 2019: $1,032) for administrative and civil litigation, $347 (2020: $368, 2019: $419) for tax litigation.</w:t>
      </w:r>
    </w:p>
    <w:p>
      <w:pPr>
        <w:spacing w:after="0" w:line="165"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i w:val="1"/>
          <w:iCs w:val="1"/>
          <w:color w:val="auto"/>
        </w:rPr>
        <w:t>Rymco Medical legal proceeding</w:t>
      </w:r>
      <w:r>
        <w:rPr>
          <w:rFonts w:ascii="Arial" w:cs="Arial" w:eastAsia="Arial" w:hAnsi="Arial"/>
          <w:sz w:val="16"/>
          <w:szCs w:val="16"/>
          <w:color w:val="auto"/>
        </w:rPr>
        <w:t>s - Provisions for legal proceedings are recognized for probable losses estimated against the company for labor and administrative litigation,</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calculated based on the best estimate of the disbursement required to pay the obligation as of the date of preparation of the financial statements. As of December 31, 2020 provisioned amounts were used for compensating the open labor litigation and new provision was not recognized from then on as of December 31, 2021 for labor litigation (2020 opening balance: $38, 2019 opening balance: $38).</w:t>
      </w:r>
    </w:p>
    <w:p>
      <w:pPr>
        <w:spacing w:after="0" w:line="16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i w:val="1"/>
          <w:iCs w:val="1"/>
          <w:color w:val="auto"/>
        </w:rPr>
        <w:t xml:space="preserve">Procaps legal proceedings </w:t>
      </w:r>
      <w:r>
        <w:rPr>
          <w:rFonts w:ascii="Arial" w:cs="Arial" w:eastAsia="Arial" w:hAnsi="Arial"/>
          <w:sz w:val="16"/>
          <w:szCs w:val="16"/>
          <w:color w:val="auto"/>
        </w:rPr>
        <w:t>– Provisions for legal proceedings are recognized to cover probable losses estimated against the company for labor and administrative litigation,</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calculated based on the best estimate of the disbursement required to cancel the obligation at the date of preparation of the financial statements. The total balance of $42 (2020: $845, 2019: $326) is for labor litigation.</w:t>
      </w:r>
    </w:p>
    <w:p>
      <w:pPr>
        <w:spacing w:after="0" w:line="162" w:lineRule="exact"/>
        <w:rPr>
          <w:sz w:val="20"/>
          <w:szCs w:val="20"/>
          <w:color w:val="auto"/>
        </w:rPr>
      </w:pPr>
    </w:p>
    <w:p>
      <w:pPr>
        <w:jc w:val="both"/>
        <w:spacing w:after="0" w:line="306" w:lineRule="auto"/>
        <w:rPr>
          <w:sz w:val="20"/>
          <w:szCs w:val="20"/>
          <w:color w:val="auto"/>
        </w:rPr>
      </w:pPr>
      <w:r>
        <w:rPr>
          <w:rFonts w:ascii="Arial" w:cs="Arial" w:eastAsia="Arial" w:hAnsi="Arial"/>
          <w:sz w:val="14"/>
          <w:szCs w:val="14"/>
          <w:i w:val="1"/>
          <w:iCs w:val="1"/>
          <w:color w:val="auto"/>
        </w:rPr>
        <w:t xml:space="preserve">Legal proceedings of Industrias Kadima, Inversiones Jades, Inversiones Ganeden, Inversiones Crynseen and Colmed </w:t>
      </w:r>
      <w:r>
        <w:rPr>
          <w:rFonts w:ascii="Arial" w:cs="Arial" w:eastAsia="Arial" w:hAnsi="Arial"/>
          <w:sz w:val="14"/>
          <w:szCs w:val="14"/>
          <w:color w:val="auto"/>
        </w:rPr>
        <w:t>– Provisions for legal proceedings are recognized for</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probable losses against these companies for labor and administrative litigation, which are calculated based on the best estimate of the disbursement required to pay the obligation as of the date of preparation of the financial statements. As of December 31, 2020 provisioned amounts were used for compensating the open administrative litigation and new provision was not recognized from then on as of December 31, 2021 for administrative litigation (2020 opening balance: $67, 2019 opening balance: $67).</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provisions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Transfer pricing Procaps </w:t>
      </w:r>
      <w:r>
        <w:rPr>
          <w:rFonts w:ascii="Arial" w:cs="Arial" w:eastAsia="Arial" w:hAnsi="Arial"/>
          <w:sz w:val="14"/>
          <w:szCs w:val="14"/>
          <w:color w:val="auto"/>
        </w:rPr>
        <w:t>– The Procaps and CI Procaps companies used to recognize provisions for the impact of transfer pricing in an amount of 2020: $354 and 2019: $173.</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However, in as of December 31, 2021, those provisions were reversed under the risk analysis carried out by its external advisors.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general direction of taxes of El Salvador, has tried to deny reductions applied to sales of the taxable year, indicating they are not documented as regulated by the DGII, the proposed sanction amounts to $954. However, the Group’s external advisor indicates that it is not probable for this claim to proceed, therefore, there is no provision for the effect of this contingency.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88" w:name="page189"/>
    <w:bookmarkEnd w:id="188"/>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Note 23. Shareholder’s equity</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Note 23.1. Authorized and issued shares</w:t>
      </w:r>
    </w:p>
    <w:p>
      <w:pPr>
        <w:spacing w:after="0" w:line="202" w:lineRule="exact"/>
        <w:rPr>
          <w:sz w:val="20"/>
          <w:szCs w:val="20"/>
          <w:color w:val="auto"/>
        </w:rPr>
      </w:pPr>
    </w:p>
    <w:p>
      <w:pPr>
        <w:jc w:val="both"/>
        <w:ind w:left="4" w:right="20"/>
        <w:spacing w:after="0" w:line="317" w:lineRule="auto"/>
        <w:rPr>
          <w:sz w:val="20"/>
          <w:szCs w:val="20"/>
          <w:color w:val="auto"/>
        </w:rPr>
      </w:pPr>
      <w:r>
        <w:rPr>
          <w:rFonts w:ascii="Arial" w:cs="Arial" w:eastAsia="Arial" w:hAnsi="Arial"/>
          <w:sz w:val="14"/>
          <w:szCs w:val="14"/>
          <w:color w:val="auto"/>
        </w:rPr>
        <w:t>The authorized shareholder’s equity is represented by 800,000,000 (2020: 2,001,071, 2019: 2,493,391) ordinary shares with a par value of one cent each, of which 112,824,184 (2020: 2,001,071, 2019: 2,493,391) are issued and outstanding as of December 31, 2021. Ordinary shares grant one vote per share and one right to dividends. Also, 4,000,000 Redeemable A Shares are issued and held in treasury by the Company and 4,500,000 Redeemable B Shares are issued and held in treasury by the Company.</w:t>
      </w:r>
    </w:p>
    <w:p>
      <w:pPr>
        <w:spacing w:after="0" w:line="127"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7320" w:type="dxa"/>
            <w:vAlign w:val="bottom"/>
            <w:gridSpan w:val="2"/>
          </w:tcPr>
          <w:p>
            <w:pPr>
              <w:spacing w:after="0"/>
              <w:rPr>
                <w:sz w:val="20"/>
                <w:szCs w:val="20"/>
                <w:color w:val="auto"/>
              </w:rPr>
            </w:pPr>
            <w:r>
              <w:rPr>
                <w:rFonts w:ascii="Arial" w:cs="Arial" w:eastAsia="Arial" w:hAnsi="Arial"/>
                <w:sz w:val="16"/>
                <w:szCs w:val="16"/>
                <w:i w:val="1"/>
                <w:iCs w:val="1"/>
                <w:color w:val="auto"/>
              </w:rPr>
              <w:t>Reconciliation of share capital and share premium</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6"/>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Number of</w:t>
            </w:r>
          </w:p>
        </w:tc>
        <w:tc>
          <w:tcPr>
            <w:tcW w:w="13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8"/>
              </w:rPr>
              <w:t>Share capital</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2"/>
        </w:trPr>
        <w:tc>
          <w:tcPr>
            <w:tcW w:w="7320" w:type="dxa"/>
            <w:vAlign w:val="bottom"/>
            <w:gridSpan w:val="2"/>
          </w:tcPr>
          <w:p>
            <w:pPr>
              <w:spacing w:after="0"/>
              <w:rPr>
                <w:sz w:val="20"/>
                <w:szCs w:val="20"/>
                <w:color w:val="auto"/>
              </w:rPr>
            </w:pPr>
            <w:r>
              <w:rPr>
                <w:rFonts w:ascii="Arial" w:cs="Arial" w:eastAsia="Arial" w:hAnsi="Arial"/>
                <w:sz w:val="16"/>
                <w:szCs w:val="16"/>
                <w:i w:val="1"/>
                <w:iCs w:val="1"/>
                <w:color w:val="auto"/>
              </w:rPr>
              <w:t>Ordinary authorized and issued shares</w:t>
            </w:r>
          </w:p>
        </w:tc>
        <w:tc>
          <w:tcPr>
            <w:tcW w:w="138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shares</w:t>
            </w:r>
          </w:p>
        </w:tc>
        <w:tc>
          <w:tcPr>
            <w:tcW w:w="13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amount</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0"/>
              </w:rPr>
              <w:t>Share premium</w:t>
            </w:r>
          </w:p>
        </w:tc>
      </w:tr>
      <w:tr>
        <w:trPr>
          <w:trHeight w:val="191"/>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As of January 1, 2019 pre-restructuring</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2,493,391</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2,493</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120,151</w:t>
            </w: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color w:val="auto"/>
              </w:rPr>
              <w:t>Issuance of put option with Hoche</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(492,320)</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(492)</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(65,739)</w:t>
            </w:r>
          </w:p>
        </w:tc>
      </w:tr>
      <w:tr>
        <w:trPr>
          <w:trHeight w:val="191"/>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Subtotal</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2,001,071</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54,412</w:t>
            </w: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color w:val="auto"/>
              </w:rPr>
              <w:t>Capital restructuring of Crynssen (1:33.4448 exchange ratio) (b)</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64,924,413</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(1,332)</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1,332</w:t>
            </w:r>
          </w:p>
        </w:tc>
      </w:tr>
      <w:tr>
        <w:trPr>
          <w:trHeight w:val="191"/>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 of December 31, 2019 restructured</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66,925,484</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669</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55,744</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 of January 1, 2020 pre-restructuring</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2,001,071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54,412</w:t>
            </w: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color w:val="auto"/>
              </w:rPr>
              <w:t>Capital restructuring of Crynssen (1:33.4448 exchange ratio) (b)</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64,924,413</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(1,332)</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1,332</w:t>
            </w:r>
          </w:p>
        </w:tc>
      </w:tr>
      <w:tr>
        <w:trPr>
          <w:trHeight w:val="191"/>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 of December 31, 2020 restructured</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66,925,484</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669</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55,744</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 of January 1, 2021 pre-restructuring</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2,001,071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54,412</w:t>
            </w: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color w:val="auto"/>
              </w:rPr>
              <w:t>Termination of put option agreements (a)</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903,075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903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297,796</w:t>
            </w:r>
          </w:p>
        </w:tc>
      </w:tr>
      <w:tr>
        <w:trPr>
          <w:trHeight w:val="191"/>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Subtotal</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2,904,146</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2,904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352,208</w:t>
            </w: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color w:val="auto"/>
              </w:rPr>
              <w:t>Capital restructuring of Crynssen (1:33.4448 exchange ratio) (b)</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94,224,544</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(1,933)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1,933</w:t>
            </w:r>
          </w:p>
        </w:tc>
      </w:tr>
      <w:tr>
        <w:trPr>
          <w:trHeight w:val="191"/>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Subtotal - restructured</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97,128,690</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971</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354,141</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Acquisition of Union Acquisition Corp. II (c)</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20,195,494</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202</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174,738</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Escrowed shares (d)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(11,714,612)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(106,247)</w:t>
            </w: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color w:val="auto"/>
              </w:rPr>
              <w:t>Redemption of redeemable shares (e)</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(4,500,000)</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(45)</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(44,955)</w:t>
            </w:r>
          </w:p>
        </w:tc>
      </w:tr>
      <w:tr>
        <w:trPr>
          <w:trHeight w:val="195"/>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 of December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101,109,572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377,677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ind w:left="284" w:hanging="284"/>
        <w:spacing w:after="0"/>
        <w:tabs>
          <w:tab w:leader="none" w:pos="284" w:val="left"/>
        </w:tabs>
        <w:numPr>
          <w:ilvl w:val="0"/>
          <w:numId w:val="103"/>
        </w:numPr>
        <w:rPr>
          <w:rFonts w:ascii="Arial" w:cs="Arial" w:eastAsia="Arial" w:hAnsi="Arial"/>
          <w:sz w:val="14"/>
          <w:szCs w:val="14"/>
          <w:color w:val="auto"/>
        </w:rPr>
      </w:pPr>
      <w:r>
        <w:rPr>
          <w:rFonts w:ascii="Arial" w:cs="Arial" w:eastAsia="Arial" w:hAnsi="Arial"/>
          <w:sz w:val="14"/>
          <w:szCs w:val="14"/>
          <w:color w:val="auto"/>
        </w:rPr>
        <w:t>On the effectiveness of the Transaction, September 29, 2021, the put option agreements were terminated in exchange for new equity instruments in Procaps Group SA.</w:t>
      </w:r>
    </w:p>
    <w:p>
      <w:pPr>
        <w:spacing w:after="0" w:line="221" w:lineRule="exact"/>
        <w:rPr>
          <w:rFonts w:ascii="Arial" w:cs="Arial" w:eastAsia="Arial" w:hAnsi="Arial"/>
          <w:sz w:val="14"/>
          <w:szCs w:val="14"/>
          <w:color w:val="auto"/>
        </w:rPr>
      </w:pPr>
    </w:p>
    <w:p>
      <w:pPr>
        <w:jc w:val="both"/>
        <w:ind w:left="284" w:hanging="284"/>
        <w:spacing w:after="0" w:line="258" w:lineRule="auto"/>
        <w:tabs>
          <w:tab w:leader="none" w:pos="28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On completion of the Transaction, each of the OpCo Shareholders, contributed its respective OpCo Ordinary Shares to Holdco in exchange for Holdco Ordinary Shares, and, in the case of IFC for Holdco Ordinary Shares and 4,500,000 Holdco Redeemable B Shares, subscribed for by each OpCo Shareholder. The OpCo Shareholders were issued 97,128,690 new shares in the Company (92,628,689 Holdco Ordinary Shares and 4,500,000 Holdco Redeemable B Shares) in exchange of the 2,904,146 outstanding OpCO ordinary Shares. The resultant share exchange ratio being 33.4448.</w:t>
      </w:r>
    </w:p>
    <w:p>
      <w:pPr>
        <w:spacing w:after="0" w:line="164" w:lineRule="exact"/>
        <w:rPr>
          <w:rFonts w:ascii="Arial" w:cs="Arial" w:eastAsia="Arial" w:hAnsi="Arial"/>
          <w:sz w:val="16"/>
          <w:szCs w:val="16"/>
          <w:color w:val="auto"/>
        </w:rPr>
      </w:pPr>
    </w:p>
    <w:p>
      <w:pPr>
        <w:ind w:left="284" w:right="20" w:hanging="284"/>
        <w:spacing w:after="0" w:line="275" w:lineRule="auto"/>
        <w:tabs>
          <w:tab w:leader="none" w:pos="28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SPAC Ordinary Shares outstanding (including those held by the PIPE Investors and Union Group International Holdings Limited and Union Acquisition Associates II, LLC (the “SPAC Sponsors”) were exchanged with Holdco for Holdco Ordinary Shares pursuant to a share capital increase of Holdco.</w:t>
      </w:r>
    </w:p>
    <w:p>
      <w:pPr>
        <w:spacing w:after="0" w:line="151" w:lineRule="exact"/>
        <w:rPr>
          <w:rFonts w:ascii="Arial" w:cs="Arial" w:eastAsia="Arial" w:hAnsi="Arial"/>
          <w:sz w:val="16"/>
          <w:szCs w:val="16"/>
          <w:color w:val="auto"/>
        </w:rPr>
      </w:pPr>
    </w:p>
    <w:p>
      <w:pPr>
        <w:ind w:left="284" w:right="20"/>
        <w:spacing w:after="0" w:line="275" w:lineRule="auto"/>
        <w:rPr>
          <w:rFonts w:ascii="Arial" w:cs="Arial" w:eastAsia="Arial" w:hAnsi="Arial"/>
          <w:sz w:val="16"/>
          <w:szCs w:val="16"/>
          <w:color w:val="auto"/>
        </w:rPr>
      </w:pPr>
      <w:r>
        <w:rPr>
          <w:rFonts w:ascii="Arial" w:cs="Arial" w:eastAsia="Arial" w:hAnsi="Arial"/>
          <w:sz w:val="16"/>
          <w:szCs w:val="16"/>
          <w:color w:val="auto"/>
        </w:rPr>
        <w:t>New Shares were issued for an aggregate subscription price of $201,955, corresponding to a total aggregate amount of $202 to be allocated to the share capital of the Company.</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189" w:name="page190"/>
    <w:bookmarkEnd w:id="189"/>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8680" w:type="dxa"/>
            <w:vAlign w:val="bottom"/>
          </w:tcPr>
          <w:p>
            <w:pPr>
              <w:ind w:left="280"/>
              <w:spacing w:after="0"/>
              <w:rPr>
                <w:sz w:val="20"/>
                <w:szCs w:val="20"/>
                <w:color w:val="auto"/>
              </w:rPr>
            </w:pPr>
            <w:r>
              <w:rPr>
                <w:rFonts w:ascii="Arial" w:cs="Arial" w:eastAsia="Arial" w:hAnsi="Arial"/>
                <w:sz w:val="16"/>
                <w:szCs w:val="16"/>
                <w:color w:val="auto"/>
              </w:rPr>
              <w:t>Aggregate subscription price is as follows: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6"/>
        </w:trPr>
        <w:tc>
          <w:tcPr>
            <w:tcW w:w="8680" w:type="dxa"/>
            <w:vAlign w:val="bottom"/>
          </w:tcPr>
          <w:p>
            <w:pPr>
              <w:spacing w:after="0"/>
              <w:rPr>
                <w:sz w:val="24"/>
                <w:szCs w:val="24"/>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Number of</w:t>
            </w: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Aggregate</w:t>
            </w:r>
          </w:p>
        </w:tc>
      </w:tr>
      <w:tr>
        <w:trPr>
          <w:trHeight w:val="212"/>
        </w:trPr>
        <w:tc>
          <w:tcPr>
            <w:tcW w:w="868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5"/>
              </w:rPr>
              <w:t>shares</w:t>
            </w: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value</w:t>
            </w:r>
          </w:p>
        </w:tc>
      </w:tr>
      <w:tr>
        <w:trPr>
          <w:trHeight w:val="191"/>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Public shares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5,895,494</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58,955</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Arial" w:cs="Arial" w:eastAsia="Arial" w:hAnsi="Arial"/>
                <w:sz w:val="16"/>
                <w:szCs w:val="16"/>
                <w:color w:val="auto"/>
              </w:rPr>
              <w:t>Founder shares</w:t>
            </w:r>
          </w:p>
        </w:tc>
        <w:tc>
          <w:tcPr>
            <w:tcW w:w="1120" w:type="dxa"/>
            <w:vAlign w:val="bottom"/>
          </w:tcPr>
          <w:p>
            <w:pPr>
              <w:jc w:val="right"/>
              <w:spacing w:after="0"/>
              <w:rPr>
                <w:sz w:val="20"/>
                <w:szCs w:val="20"/>
                <w:color w:val="auto"/>
              </w:rPr>
            </w:pPr>
            <w:r>
              <w:rPr>
                <w:rFonts w:ascii="Arial" w:cs="Arial" w:eastAsia="Arial" w:hAnsi="Arial"/>
                <w:sz w:val="16"/>
                <w:szCs w:val="16"/>
                <w:color w:val="auto"/>
              </w:rPr>
              <w:t>4,300,000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43,000</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PIPE Shares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10,000,000</w:t>
            </w:r>
          </w:p>
        </w:tc>
        <w:tc>
          <w:tcPr>
            <w:tcW w:w="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100,000</w:t>
            </w:r>
          </w:p>
        </w:tc>
      </w:tr>
      <w:tr>
        <w:trPr>
          <w:trHeight w:val="192"/>
        </w:trPr>
        <w:tc>
          <w:tcPr>
            <w:tcW w:w="868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20,195,494</w:t>
            </w:r>
          </w:p>
        </w:tc>
        <w:tc>
          <w:tcPr>
            <w:tcW w:w="2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201,955</w:t>
            </w:r>
          </w:p>
        </w:tc>
        <w:tc>
          <w:tcPr>
            <w:tcW w:w="120" w:type="dxa"/>
            <w:vAlign w:val="bottom"/>
            <w:tcBorders>
              <w:top w:val="single" w:sz="8" w:color="CCEEFF"/>
            </w:tcBorders>
          </w:tcPr>
          <w:p>
            <w:pPr>
              <w:spacing w:after="0"/>
              <w:rPr>
                <w:sz w:val="16"/>
                <w:szCs w:val="16"/>
                <w:color w:val="auto"/>
              </w:rPr>
            </w:pPr>
          </w:p>
        </w:tc>
      </w:tr>
      <w:tr>
        <w:trPr>
          <w:trHeight w:val="366"/>
        </w:trPr>
        <w:tc>
          <w:tcPr>
            <w:tcW w:w="8680" w:type="dxa"/>
            <w:vAlign w:val="bottom"/>
          </w:tcPr>
          <w:p>
            <w:pPr>
              <w:ind w:left="280"/>
              <w:spacing w:after="0"/>
              <w:rPr>
                <w:sz w:val="20"/>
                <w:szCs w:val="20"/>
                <w:color w:val="auto"/>
              </w:rPr>
            </w:pPr>
            <w:r>
              <w:rPr>
                <w:rFonts w:ascii="Arial" w:cs="Arial" w:eastAsia="Arial" w:hAnsi="Arial"/>
                <w:sz w:val="16"/>
                <w:szCs w:val="16"/>
                <w:color w:val="auto"/>
              </w:rPr>
              <w:t>Cost-basis of the exchange reflects: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6"/>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Share</w:t>
            </w:r>
          </w:p>
        </w:tc>
      </w:tr>
      <w:tr>
        <w:trPr>
          <w:trHeight w:val="212"/>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premium</w:t>
            </w:r>
          </w:p>
        </w:tc>
      </w:tr>
      <w:tr>
        <w:trPr>
          <w:trHeight w:val="191"/>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SPAC net assets</w:t>
            </w:r>
          </w:p>
        </w:tc>
        <w:tc>
          <w:tcPr>
            <w:tcW w:w="1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131,086</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Arial" w:cs="Arial" w:eastAsia="Arial" w:hAnsi="Arial"/>
                <w:sz w:val="16"/>
                <w:szCs w:val="16"/>
                <w:color w:val="auto"/>
              </w:rPr>
              <w:t>Transactions costs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(30,063)</w:t>
            </w: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IFRS 2 Share-based payment expense</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73,917</w:t>
            </w:r>
          </w:p>
        </w:tc>
      </w:tr>
      <w:tr>
        <w:trPr>
          <w:trHeight w:val="207"/>
        </w:trPr>
        <w:tc>
          <w:tcPr>
            <w:tcW w:w="8680" w:type="dxa"/>
            <w:vAlign w:val="bottom"/>
          </w:tcPr>
          <w:p>
            <w:pPr>
              <w:spacing w:after="0"/>
              <w:rPr>
                <w:sz w:val="20"/>
                <w:szCs w:val="20"/>
                <w:color w:val="auto"/>
              </w:rPr>
            </w:pPr>
            <w:r>
              <w:rPr>
                <w:rFonts w:ascii="Arial" w:cs="Arial" w:eastAsia="Arial" w:hAnsi="Arial"/>
                <w:sz w:val="16"/>
                <w:szCs w:val="16"/>
                <w:color w:val="auto"/>
              </w:rPr>
              <w:t>Share Capital issued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(202)</w:t>
            </w:r>
          </w:p>
        </w:tc>
      </w:tr>
      <w:tr>
        <w:trPr>
          <w:trHeight w:val="191"/>
        </w:trPr>
        <w:tc>
          <w:tcPr>
            <w:tcW w:w="86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174,738</w:t>
            </w:r>
          </w:p>
        </w:tc>
        <w:tc>
          <w:tcPr>
            <w:tcW w:w="120" w:type="dxa"/>
            <w:vAlign w:val="bottom"/>
            <w:tcBorders>
              <w:top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jc w:val="both"/>
        <w:ind w:left="284" w:hanging="284"/>
        <w:spacing w:after="0" w:line="254" w:lineRule="auto"/>
        <w:tabs>
          <w:tab w:leader="none" w:pos="28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1,250,000 Holdco Ordinary Shares issued to the SPAC Sponsors and 10,464,612 Holdco Ordinary Shares issued to certain Opco Shareholders in connection with the Transaction are subject to an escrow arrangement that is applicable to both SPAC Sponsors and to such OpCo Shareholders. On September 29, 2021, considering that the condition to deliver a fixed number of shares for a consideration that is settled in One’s own equity instruments is not met for the 11,714,612 Holdco Ordinary Shares issued to the SPAC Sponsors and certain Opco Shareholders, the escrow shares were classified as a financial liability with changes in fair value through profit and loss. As of December 31, 2021 shares to be delivered are presented at fair value as non-current liabilities for the amount of $101,859, representing a decrease of $4,506 recognized in Finance expenses, net.</w:t>
      </w:r>
    </w:p>
    <w:p>
      <w:pPr>
        <w:spacing w:after="0" w:line="170" w:lineRule="exact"/>
        <w:rPr>
          <w:rFonts w:ascii="Arial" w:cs="Arial" w:eastAsia="Arial" w:hAnsi="Arial"/>
          <w:sz w:val="16"/>
          <w:szCs w:val="16"/>
          <w:color w:val="auto"/>
        </w:rPr>
      </w:pPr>
    </w:p>
    <w:p>
      <w:pPr>
        <w:ind w:left="284" w:right="20" w:hanging="284"/>
        <w:spacing w:after="0" w:line="349" w:lineRule="auto"/>
        <w:tabs>
          <w:tab w:leader="none" w:pos="28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Immediately following the Exchange, the Company redeemed 4,500,000 Holdco Redeemable B from IFC for a total purchase price of $45,000 in accordance with that certain share redemption agreement entered into by and between the Company and IFC on March 31, 2021, and subsequently amended on September 29, 2021.</w:t>
      </w:r>
    </w:p>
    <w:p>
      <w:pPr>
        <w:spacing w:after="0" w:line="105" w:lineRule="exact"/>
        <w:rPr>
          <w:rFonts w:ascii="Arial" w:cs="Arial" w:eastAsia="Arial" w:hAnsi="Arial"/>
          <w:sz w:val="14"/>
          <w:szCs w:val="14"/>
          <w:color w:val="auto"/>
        </w:rPr>
      </w:pPr>
    </w:p>
    <w:p>
      <w:pPr>
        <w:ind w:left="284"/>
        <w:spacing w:after="0"/>
        <w:rPr>
          <w:rFonts w:ascii="Arial" w:cs="Arial" w:eastAsia="Arial" w:hAnsi="Arial"/>
          <w:sz w:val="14"/>
          <w:szCs w:val="14"/>
          <w:color w:val="auto"/>
        </w:rPr>
      </w:pPr>
      <w:r>
        <w:rPr>
          <w:rFonts w:ascii="Arial" w:cs="Arial" w:eastAsia="Arial" w:hAnsi="Arial"/>
          <w:sz w:val="16"/>
          <w:szCs w:val="16"/>
          <w:color w:val="auto"/>
        </w:rPr>
        <w:t>Refer to Note 26.1. Reverse reorganization for further information related to the Transaction.</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4800" w:type="dxa"/>
            <w:vAlign w:val="bottom"/>
          </w:tcPr>
          <w:p>
            <w:pPr>
              <w:spacing w:after="0"/>
              <w:rPr>
                <w:sz w:val="20"/>
                <w:szCs w:val="20"/>
                <w:color w:val="auto"/>
              </w:rPr>
            </w:pPr>
            <w:r>
              <w:rPr>
                <w:rFonts w:ascii="Arial" w:cs="Arial" w:eastAsia="Arial" w:hAnsi="Arial"/>
                <w:sz w:val="16"/>
                <w:szCs w:val="16"/>
                <w:b w:val="1"/>
                <w:bCs w:val="1"/>
                <w:color w:val="auto"/>
              </w:rPr>
              <w:t>Note 23.2. Reserves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8"/>
        </w:trPr>
        <w:tc>
          <w:tcPr>
            <w:tcW w:w="4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8"/>
              </w:rPr>
              <w:t>As of December 31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4800" w:type="dxa"/>
            <w:vAlign w:val="bottom"/>
            <w:tcBorders>
              <w:bottom w:val="single" w:sz="8" w:color="CCEEFF"/>
            </w:tcBorders>
          </w:tcPr>
          <w:p>
            <w:pPr>
              <w:spacing w:after="0"/>
              <w:rPr>
                <w:sz w:val="18"/>
                <w:szCs w:val="18"/>
                <w:color w:val="auto"/>
              </w:rPr>
            </w:pPr>
          </w:p>
        </w:tc>
        <w:tc>
          <w:tcPr>
            <w:tcW w:w="2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5"/>
        </w:trPr>
        <w:tc>
          <w:tcPr>
            <w:tcW w:w="480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Legal</w:t>
            </w:r>
            <w:r>
              <w:rPr>
                <w:rFonts w:ascii="Arial" w:cs="Arial" w:eastAsia="Arial" w:hAnsi="Arial"/>
                <w:sz w:val="24"/>
                <w:szCs w:val="24"/>
                <w:color w:val="auto"/>
                <w:vertAlign w:val="superscript"/>
              </w:rPr>
              <w:t>1</w:t>
            </w:r>
          </w:p>
        </w:tc>
        <w:tc>
          <w:tcPr>
            <w:tcW w:w="276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4,892</w:t>
            </w:r>
          </w:p>
        </w:tc>
        <w:tc>
          <w:tcPr>
            <w:tcW w:w="4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4,892</w:t>
            </w:r>
          </w:p>
        </w:tc>
        <w:tc>
          <w:tcPr>
            <w:tcW w:w="100" w:type="dxa"/>
            <w:vAlign w:val="bottom"/>
            <w:shd w:val="clear" w:color="auto" w:fill="CCEEFF"/>
          </w:tcPr>
          <w:p>
            <w:pPr>
              <w:spacing w:after="0"/>
              <w:rPr>
                <w:sz w:val="18"/>
                <w:szCs w:val="18"/>
                <w:color w:val="auto"/>
              </w:rPr>
            </w:pPr>
          </w:p>
        </w:tc>
      </w:tr>
      <w:tr>
        <w:trPr>
          <w:trHeight w:val="243"/>
        </w:trPr>
        <w:tc>
          <w:tcPr>
            <w:tcW w:w="4800" w:type="dxa"/>
            <w:vAlign w:val="bottom"/>
          </w:tcPr>
          <w:p>
            <w:pPr>
              <w:spacing w:after="0" w:line="238" w:lineRule="exact"/>
              <w:rPr>
                <w:sz w:val="20"/>
                <w:szCs w:val="20"/>
                <w:color w:val="auto"/>
              </w:rPr>
            </w:pPr>
            <w:r>
              <w:rPr>
                <w:rFonts w:ascii="Arial" w:cs="Arial" w:eastAsia="Arial" w:hAnsi="Arial"/>
                <w:sz w:val="16"/>
                <w:szCs w:val="16"/>
                <w:color w:val="auto"/>
              </w:rPr>
              <w:t>Working Capital</w:t>
            </w:r>
            <w:r>
              <w:rPr>
                <w:rFonts w:ascii="Arial" w:cs="Arial" w:eastAsia="Arial" w:hAnsi="Arial"/>
                <w:sz w:val="26"/>
                <w:szCs w:val="26"/>
                <w:color w:val="auto"/>
                <w:vertAlign w:val="superscript"/>
              </w:rPr>
              <w:t>2</w:t>
            </w:r>
          </w:p>
        </w:tc>
        <w:tc>
          <w:tcPr>
            <w:tcW w:w="2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37,857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35,005</w:t>
            </w: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23,789</w:t>
            </w:r>
          </w:p>
        </w:tc>
        <w:tc>
          <w:tcPr>
            <w:tcW w:w="100" w:type="dxa"/>
            <w:vAlign w:val="bottom"/>
          </w:tcPr>
          <w:p>
            <w:pPr>
              <w:spacing w:after="0"/>
              <w:rPr>
                <w:sz w:val="21"/>
                <w:szCs w:val="21"/>
                <w:color w:val="auto"/>
              </w:rPr>
            </w:pPr>
          </w:p>
        </w:tc>
      </w:tr>
      <w:tr>
        <w:trPr>
          <w:trHeight w:val="195"/>
        </w:trPr>
        <w:tc>
          <w:tcPr>
            <w:tcW w:w="4800" w:type="dxa"/>
            <w:vAlign w:val="bottom"/>
            <w:tcBorders>
              <w:top w:val="single" w:sz="8" w:color="CCEEFF"/>
              <w:bottom w:val="single" w:sz="8" w:color="CCEEFF"/>
            </w:tcBorders>
            <w:shd w:val="clear" w:color="auto" w:fill="CCEEFF"/>
          </w:tcPr>
          <w:p>
            <w:pPr>
              <w:spacing w:after="0"/>
              <w:rPr>
                <w:sz w:val="16"/>
                <w:szCs w:val="16"/>
                <w:color w:val="auto"/>
              </w:rPr>
            </w:pPr>
          </w:p>
        </w:tc>
        <w:tc>
          <w:tcPr>
            <w:tcW w:w="25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42,749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39,897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28,681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398"/>
        </w:trPr>
        <w:tc>
          <w:tcPr>
            <w:tcW w:w="4800" w:type="dxa"/>
            <w:vAlign w:val="bottom"/>
            <w:tcBorders>
              <w:bottom w:val="single" w:sz="8" w:color="CCEEFF"/>
            </w:tcBorders>
          </w:tcPr>
          <w:p>
            <w:pPr>
              <w:spacing w:after="0"/>
              <w:rPr>
                <w:sz w:val="24"/>
                <w:szCs w:val="24"/>
                <w:color w:val="auto"/>
              </w:rPr>
            </w:pPr>
          </w:p>
        </w:tc>
        <w:tc>
          <w:tcPr>
            <w:tcW w:w="25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1"/>
        </w:trPr>
        <w:tc>
          <w:tcPr>
            <w:tcW w:w="4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January 1</w:t>
            </w:r>
          </w:p>
        </w:tc>
        <w:tc>
          <w:tcPr>
            <w:tcW w:w="25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39,897</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28,681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28,322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6"/>
                <w:szCs w:val="16"/>
                <w:color w:val="auto"/>
              </w:rPr>
              <w:t>Increase in legal reserves</w:t>
            </w:r>
          </w:p>
        </w:tc>
        <w:tc>
          <w:tcPr>
            <w:tcW w:w="2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Increase in working capital reserves</w:t>
            </w:r>
          </w:p>
        </w:tc>
        <w:tc>
          <w:tcPr>
            <w:tcW w:w="2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2,852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9"/>
                <w:szCs w:val="19"/>
                <w:color w:val="auto"/>
              </w:rPr>
            </w:pPr>
          </w:p>
        </w:tc>
      </w:tr>
      <w:tr>
        <w:trPr>
          <w:trHeight w:val="179"/>
        </w:trPr>
        <w:tc>
          <w:tcPr>
            <w:tcW w:w="480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Balance as of December 31</w:t>
            </w:r>
          </w:p>
        </w:tc>
        <w:tc>
          <w:tcPr>
            <w:tcW w:w="252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42,749</w:t>
            </w: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39,897</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28,681</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ind w:left="284" w:right="20" w:hanging="284"/>
        <w:spacing w:after="0" w:line="191" w:lineRule="auto"/>
        <w:tabs>
          <w:tab w:leader="none" w:pos="284" w:val="left"/>
        </w:tabs>
        <w:numPr>
          <w:ilvl w:val="0"/>
          <w:numId w:val="105"/>
        </w:numPr>
        <w:rPr>
          <w:rFonts w:ascii="Arial" w:cs="Arial" w:eastAsia="Arial" w:hAnsi="Arial"/>
          <w:sz w:val="27"/>
          <w:szCs w:val="27"/>
          <w:i w:val="1"/>
          <w:iCs w:val="1"/>
          <w:color w:val="auto"/>
          <w:vertAlign w:val="superscript"/>
        </w:rPr>
      </w:pPr>
      <w:r>
        <w:rPr>
          <w:rFonts w:ascii="Arial" w:cs="Arial" w:eastAsia="Arial" w:hAnsi="Arial"/>
          <w:sz w:val="16"/>
          <w:szCs w:val="16"/>
          <w:i w:val="1"/>
          <w:iCs w:val="1"/>
          <w:color w:val="auto"/>
        </w:rPr>
        <w:t xml:space="preserve">Legal Reserve - </w:t>
      </w:r>
      <w:r>
        <w:rPr>
          <w:rFonts w:ascii="Arial" w:cs="Arial" w:eastAsia="Arial" w:hAnsi="Arial"/>
          <w:sz w:val="16"/>
          <w:szCs w:val="16"/>
          <w:color w:val="auto"/>
        </w:rPr>
        <w:t>Includes the appropriate values from net income to comply with legal provisions related to asset protection according to applicable jurisdictions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earnings.</w:t>
      </w:r>
    </w:p>
    <w:p>
      <w:pPr>
        <w:spacing w:after="0" w:line="2" w:lineRule="exact"/>
        <w:rPr>
          <w:sz w:val="20"/>
          <w:szCs w:val="20"/>
          <w:color w:val="auto"/>
        </w:rPr>
      </w:pPr>
    </w:p>
    <w:p>
      <w:pPr>
        <w:ind w:left="5484" w:right="2580" w:hanging="5484"/>
        <w:spacing w:after="0" w:line="592" w:lineRule="auto"/>
        <w:tabs>
          <w:tab w:leader="none" w:pos="293" w:val="left"/>
        </w:tabs>
        <w:numPr>
          <w:ilvl w:val="0"/>
          <w:numId w:val="106"/>
        </w:numPr>
        <w:rPr>
          <w:rFonts w:ascii="Arial" w:cs="Arial" w:eastAsia="Arial" w:hAnsi="Arial"/>
          <w:sz w:val="27"/>
          <w:szCs w:val="27"/>
          <w:i w:val="1"/>
          <w:iCs w:val="1"/>
          <w:color w:val="auto"/>
          <w:vertAlign w:val="superscript"/>
        </w:rPr>
      </w:pPr>
      <w:r>
        <w:rPr>
          <w:rFonts w:ascii="Arial" w:cs="Arial" w:eastAsia="Arial" w:hAnsi="Arial"/>
          <w:sz w:val="16"/>
          <w:szCs w:val="16"/>
          <w:i w:val="1"/>
          <w:iCs w:val="1"/>
          <w:color w:val="auto"/>
        </w:rPr>
        <w:t xml:space="preserve">Reserves for working capital – </w:t>
      </w:r>
      <w:r>
        <w:rPr>
          <w:rFonts w:ascii="Arial" w:cs="Arial" w:eastAsia="Arial" w:hAnsi="Arial"/>
          <w:sz w:val="16"/>
          <w:szCs w:val="16"/>
          <w:color w:val="auto"/>
        </w:rPr>
        <w:t>These are eventually used to transfer earnings from the retained earnings for appropriation purposes.</w:t>
      </w:r>
      <w:r>
        <w:rPr>
          <w:rFonts w:ascii="Arial" w:cs="Arial" w:eastAsia="Arial" w:hAnsi="Arial"/>
          <w:sz w:val="16"/>
          <w:szCs w:val="16"/>
          <w:i w:val="1"/>
          <w:iCs w:val="1"/>
          <w:color w:val="auto"/>
        </w:rPr>
        <w:t xml:space="preserve"> </w:t>
      </w:r>
      <w:r>
        <w:rPr>
          <w:rFonts w:ascii="Arial" w:cs="Arial" w:eastAsia="Arial" w:hAnsi="Arial"/>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-288290</wp:posOffset>
            </wp:positionV>
            <wp:extent cx="714819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190" w:name="page191"/>
    <w:bookmarkEnd w:id="190"/>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Note 24. Earnings Per Share</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loss per share is calculated by dividing the profit or loss for the period by the weighted average number of ordinary shares outstanding in the year.</w:t>
      </w:r>
    </w:p>
    <w:p>
      <w:pPr>
        <w:spacing w:after="0" w:line="198"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auto"/>
        </w:rPr>
        <w:t>The profit (loss) per fully diluted share shall be calculated based on the result for the year divided by the weighted average number of fully diluted shares. The effects of potentially dilutive ordinary shares are not included in the calculation of diluted EPS because their effect would be anti-dilutive.</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7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Net loss of the year</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(100,863)</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(10,447)</w:t>
            </w: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(17,013)</w:t>
            </w: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Number of ordinary shares issued at December 31*</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101,110</w:t>
            </w:r>
          </w:p>
        </w:tc>
        <w:tc>
          <w:tcPr>
            <w:tcW w:w="12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97,129</w:t>
            </w:r>
          </w:p>
        </w:tc>
        <w:tc>
          <w:tcPr>
            <w:tcW w:w="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97,129</w:t>
            </w:r>
          </w:p>
        </w:tc>
        <w:tc>
          <w:tcPr>
            <w:tcW w:w="100" w:type="dxa"/>
            <w:vAlign w:val="bottom"/>
          </w:tcPr>
          <w:p>
            <w:pPr>
              <w:spacing w:after="0"/>
              <w:rPr>
                <w:sz w:val="16"/>
                <w:szCs w:val="16"/>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basic number of ordinary shares</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98,143</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97,129</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97,129</w:t>
            </w:r>
          </w:p>
        </w:tc>
        <w:tc>
          <w:tcPr>
            <w:tcW w:w="100" w:type="dxa"/>
            <w:vAlign w:val="bottom"/>
            <w:shd w:val="clear" w:color="auto" w:fill="CCEEFF"/>
          </w:tcPr>
          <w:p>
            <w:pPr>
              <w:spacing w:after="0"/>
              <w:rPr>
                <w:sz w:val="19"/>
                <w:szCs w:val="19"/>
                <w:color w:val="auto"/>
              </w:rPr>
            </w:pPr>
          </w:p>
        </w:tc>
      </w:tr>
      <w:tr>
        <w:trPr>
          <w:trHeight w:val="179"/>
        </w:trPr>
        <w:tc>
          <w:tcPr>
            <w:tcW w:w="732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color w:val="auto"/>
              </w:rPr>
              <w:t>Assumed exercise of share equivalents</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gridSpan w:val="2"/>
          </w:tcPr>
          <w:p>
            <w:pPr>
              <w:spacing w:after="0"/>
              <w:rPr>
                <w:sz w:val="15"/>
                <w:szCs w:val="15"/>
                <w:color w:val="auto"/>
              </w:rPr>
            </w:pPr>
          </w:p>
        </w:tc>
      </w:tr>
      <w:tr>
        <w:trPr>
          <w:trHeight w:val="211"/>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Weighted average diluted number of shares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98,143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97,129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97,129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Basic and diluted loss per share in the year</w:t>
            </w:r>
          </w:p>
        </w:tc>
        <w:tc>
          <w:tcPr>
            <w:tcW w:w="11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(1.03</w:t>
            </w:r>
          </w:p>
        </w:tc>
        <w:tc>
          <w:tcPr>
            <w:tcW w:w="120" w:type="dxa"/>
            <w:vAlign w:val="bottom"/>
          </w:tcPr>
          <w:p>
            <w:pPr>
              <w:jc w:val="right"/>
              <w:ind w:right="40"/>
              <w:spacing w:after="0"/>
              <w:rPr>
                <w:sz w:val="20"/>
                <w:szCs w:val="20"/>
                <w:color w:val="auto"/>
              </w:rPr>
            </w:pPr>
            <w:r>
              <w:rPr>
                <w:rFonts w:ascii="Arial" w:cs="Arial" w:eastAsia="Arial" w:hAnsi="Arial"/>
                <w:sz w:val="8"/>
                <w:szCs w:val="8"/>
                <w:b w:val="1"/>
                <w:bCs w:val="1"/>
                <w:i w:val="1"/>
                <w:iCs w:val="1"/>
                <w:color w:val="auto"/>
                <w:w w:val="73"/>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(0.11</w:t>
            </w:r>
          </w:p>
        </w:tc>
        <w:tc>
          <w:tcPr>
            <w:tcW w:w="100" w:type="dxa"/>
            <w:vAlign w:val="bottom"/>
          </w:tcPr>
          <w:p>
            <w:pPr>
              <w:jc w:val="right"/>
              <w:spacing w:after="0"/>
              <w:rPr>
                <w:sz w:val="20"/>
                <w:szCs w:val="20"/>
                <w:color w:val="auto"/>
              </w:rPr>
            </w:pPr>
            <w:r>
              <w:rPr>
                <w:rFonts w:ascii="Arial" w:cs="Arial" w:eastAsia="Arial" w:hAnsi="Arial"/>
                <w:sz w:val="16"/>
                <w:szCs w:val="16"/>
                <w:b w:val="1"/>
                <w:bCs w:val="1"/>
                <w:i w:val="1"/>
                <w:iCs w:val="1"/>
                <w:color w:val="auto"/>
                <w:w w:val="74"/>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(0.18</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i w:val="1"/>
                <w:iCs w:val="1"/>
                <w:color w:val="auto"/>
                <w:w w:val="74"/>
              </w:rPr>
              <w:t>)</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4" w:hanging="285"/>
        <w:spacing w:after="0"/>
        <w:tabs>
          <w:tab w:leader="none" w:pos="344" w:val="left"/>
        </w:tabs>
        <w:numPr>
          <w:ilvl w:val="0"/>
          <w:numId w:val="10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903,075 shares held under put option before the transaction as such ordinary shareholders were entitled to receive dividends.</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4620" w:type="dxa"/>
            <w:vAlign w:val="bottom"/>
          </w:tcPr>
          <w:p>
            <w:pPr>
              <w:spacing w:after="0"/>
              <w:rPr>
                <w:sz w:val="20"/>
                <w:szCs w:val="20"/>
                <w:color w:val="auto"/>
              </w:rPr>
            </w:pPr>
            <w:r>
              <w:rPr>
                <w:rFonts w:ascii="Arial" w:cs="Arial" w:eastAsia="Arial" w:hAnsi="Arial"/>
                <w:sz w:val="16"/>
                <w:szCs w:val="16"/>
                <w:b w:val="1"/>
                <w:bCs w:val="1"/>
                <w:color w:val="auto"/>
              </w:rPr>
              <w:t>Note 25. Warrant Liabilities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8"/>
        </w:trPr>
        <w:tc>
          <w:tcPr>
            <w:tcW w:w="4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8"/>
              </w:rPr>
              <w:t>As of December 31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4620" w:type="dxa"/>
            <w:vAlign w:val="bottom"/>
            <w:tcBorders>
              <w:bottom w:val="single" w:sz="8" w:color="CCEEFF"/>
            </w:tcBorders>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r>
      <w:tr>
        <w:trPr>
          <w:trHeight w:val="191"/>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Public warrants</w:t>
            </w:r>
          </w:p>
        </w:tc>
        <w:tc>
          <w:tcPr>
            <w:tcW w:w="27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7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CEEFF"/>
          </w:tcPr>
          <w:p>
            <w:pPr>
              <w:spacing w:after="0"/>
              <w:rPr>
                <w:sz w:val="16"/>
                <w:szCs w:val="16"/>
                <w:color w:val="auto"/>
              </w:rPr>
            </w:pPr>
          </w:p>
        </w:tc>
      </w:tr>
      <w:tr>
        <w:trPr>
          <w:trHeight w:val="243"/>
        </w:trPr>
        <w:tc>
          <w:tcPr>
            <w:tcW w:w="4620" w:type="dxa"/>
            <w:vAlign w:val="bottom"/>
          </w:tcPr>
          <w:p>
            <w:pPr>
              <w:spacing w:after="0" w:line="238" w:lineRule="exact"/>
              <w:rPr>
                <w:sz w:val="20"/>
                <w:szCs w:val="20"/>
                <w:color w:val="auto"/>
              </w:rPr>
            </w:pPr>
            <w:r>
              <w:rPr>
                <w:rFonts w:ascii="Arial" w:cs="Arial" w:eastAsia="Arial" w:hAnsi="Arial"/>
                <w:sz w:val="16"/>
                <w:szCs w:val="16"/>
                <w:color w:val="auto"/>
              </w:rPr>
              <w:t>Private warrants</w:t>
            </w:r>
            <w:r>
              <w:rPr>
                <w:rFonts w:ascii="Arial" w:cs="Arial" w:eastAsia="Arial" w:hAnsi="Arial"/>
                <w:sz w:val="26"/>
                <w:szCs w:val="26"/>
                <w:color w:val="auto"/>
                <w:vertAlign w:val="superscript"/>
              </w:rPr>
              <w:t>1</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7,112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195"/>
        </w:trPr>
        <w:tc>
          <w:tcPr>
            <w:tcW w:w="4620" w:type="dxa"/>
            <w:vAlign w:val="bottom"/>
            <w:tcBorders>
              <w:top w:val="single" w:sz="8" w:color="CCEEFF"/>
              <w:bottom w:val="single" w:sz="8" w:color="CCEEFF"/>
            </w:tcBorders>
            <w:shd w:val="clear" w:color="auto" w:fill="CCEEFF"/>
          </w:tcPr>
          <w:p>
            <w:pPr>
              <w:spacing w:after="0"/>
              <w:rPr>
                <w:sz w:val="16"/>
                <w:szCs w:val="16"/>
                <w:color w:val="auto"/>
              </w:rPr>
            </w:pPr>
          </w:p>
        </w:tc>
        <w:tc>
          <w:tcPr>
            <w:tcW w:w="27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23,112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b w:val="1"/>
                <w:bCs w:val="1"/>
                <w:color w:val="auto"/>
                <w:w w:val="87"/>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6"/>
                <w:szCs w:val="16"/>
                <w:b w:val="1"/>
                <w:bCs w:val="1"/>
                <w:color w:val="auto"/>
                <w:w w:val="87"/>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72" w:lineRule="exact"/>
        <w:rPr>
          <w:sz w:val="20"/>
          <w:szCs w:val="20"/>
          <w:color w:val="auto"/>
        </w:rPr>
      </w:pPr>
    </w:p>
    <w:p>
      <w:pPr>
        <w:ind w:left="284" w:hanging="284"/>
        <w:spacing w:after="0"/>
        <w:tabs>
          <w:tab w:leader="none" w:pos="284" w:val="left"/>
        </w:tabs>
        <w:numPr>
          <w:ilvl w:val="0"/>
          <w:numId w:val="108"/>
        </w:numPr>
        <w:rPr>
          <w:rFonts w:ascii="Arial" w:cs="Arial" w:eastAsia="Arial" w:hAnsi="Arial"/>
          <w:sz w:val="27"/>
          <w:szCs w:val="27"/>
          <w:i w:val="1"/>
          <w:iCs w:val="1"/>
          <w:color w:val="auto"/>
          <w:vertAlign w:val="superscript"/>
        </w:rPr>
      </w:pPr>
      <w:r>
        <w:rPr>
          <w:rFonts w:ascii="Arial" w:cs="Arial" w:eastAsia="Arial" w:hAnsi="Arial"/>
          <w:sz w:val="16"/>
          <w:szCs w:val="16"/>
          <w:i w:val="1"/>
          <w:iCs w:val="1"/>
          <w:color w:val="auto"/>
        </w:rPr>
        <w:t>Private warrants include 2,875,000 held by the former SPAC sponsors deposited in an escrow account.</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Arial" w:cs="Arial" w:eastAsia="Arial" w:hAnsi="Arial"/>
                <w:sz w:val="16"/>
                <w:szCs w:val="16"/>
                <w:color w:val="auto"/>
              </w:rPr>
              <w:t>Note 25.1. Public warrants</w:t>
            </w:r>
          </w:p>
        </w:tc>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8"/>
        </w:trPr>
        <w:tc>
          <w:tcPr>
            <w:tcW w:w="3580" w:type="dxa"/>
            <w:vAlign w:val="bottom"/>
            <w:tcBorders>
              <w:bottom w:val="single" w:sz="8" w:color="CCEEFF"/>
            </w:tcBorders>
          </w:tcPr>
          <w:p>
            <w:pPr>
              <w:spacing w:after="0"/>
              <w:rPr>
                <w:sz w:val="24"/>
                <w:szCs w:val="24"/>
                <w:color w:val="auto"/>
              </w:rPr>
            </w:pPr>
          </w:p>
        </w:tc>
        <w:tc>
          <w:tcPr>
            <w:tcW w:w="37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4"/>
                <w:szCs w:val="24"/>
                <w:color w:val="auto"/>
              </w:rPr>
            </w:pPr>
          </w:p>
        </w:tc>
      </w:tr>
      <w:tr>
        <w:trPr>
          <w:trHeight w:val="191"/>
        </w:trPr>
        <w:tc>
          <w:tcPr>
            <w:tcW w:w="3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January 1</w:t>
            </w:r>
          </w:p>
        </w:tc>
        <w:tc>
          <w:tcPr>
            <w:tcW w:w="37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b w:val="1"/>
                <w:bCs w:val="1"/>
                <w:color w:val="auto"/>
                <w:w w:val="87"/>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ind w:left="700"/>
              <w:spacing w:after="0"/>
              <w:rPr>
                <w:sz w:val="20"/>
                <w:szCs w:val="20"/>
                <w:color w:val="auto"/>
              </w:rPr>
            </w:pPr>
            <w:r>
              <w:rPr>
                <w:rFonts w:ascii="Arial" w:cs="Arial" w:eastAsia="Arial" w:hAnsi="Arial"/>
                <w:sz w:val="16"/>
                <w:szCs w:val="16"/>
                <w:b w:val="1"/>
                <w:bCs w:val="1"/>
                <w:color w:val="auto"/>
                <w:w w:val="87"/>
              </w:rPr>
              <w:t>—</w:t>
            </w:r>
          </w:p>
        </w:tc>
        <w:tc>
          <w:tcPr>
            <w:tcW w:w="120" w:type="dxa"/>
            <w:vAlign w:val="bottom"/>
            <w:shd w:val="clear" w:color="auto" w:fill="CCEEFF"/>
          </w:tcPr>
          <w:p>
            <w:pPr>
              <w:spacing w:after="0"/>
              <w:rPr>
                <w:sz w:val="16"/>
                <w:szCs w:val="16"/>
                <w:color w:val="auto"/>
              </w:rPr>
            </w:pPr>
          </w:p>
        </w:tc>
      </w:tr>
      <w:tr>
        <w:trPr>
          <w:trHeight w:val="191"/>
        </w:trPr>
        <w:tc>
          <w:tcPr>
            <w:tcW w:w="3580" w:type="dxa"/>
            <w:vAlign w:val="bottom"/>
          </w:tcPr>
          <w:p>
            <w:pPr>
              <w:spacing w:after="0"/>
              <w:rPr>
                <w:sz w:val="20"/>
                <w:szCs w:val="20"/>
                <w:color w:val="auto"/>
              </w:rPr>
            </w:pPr>
            <w:r>
              <w:rPr>
                <w:rFonts w:ascii="Arial" w:cs="Arial" w:eastAsia="Arial" w:hAnsi="Arial"/>
                <w:sz w:val="16"/>
                <w:szCs w:val="16"/>
                <w:color w:val="auto"/>
              </w:rPr>
              <w:t>Acquired public warrants</w:t>
            </w:r>
          </w:p>
        </w:tc>
        <w:tc>
          <w:tcPr>
            <w:tcW w:w="398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21,600</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191"/>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Warrants exercised</w:t>
            </w:r>
          </w:p>
        </w:tc>
        <w:tc>
          <w:tcPr>
            <w:tcW w:w="398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r>
      <w:tr>
        <w:trPr>
          <w:trHeight w:val="207"/>
        </w:trPr>
        <w:tc>
          <w:tcPr>
            <w:tcW w:w="3580" w:type="dxa"/>
            <w:vAlign w:val="bottom"/>
          </w:tcPr>
          <w:p>
            <w:pPr>
              <w:spacing w:after="0"/>
              <w:rPr>
                <w:sz w:val="20"/>
                <w:szCs w:val="20"/>
                <w:color w:val="auto"/>
              </w:rPr>
            </w:pPr>
            <w:r>
              <w:rPr>
                <w:rFonts w:ascii="Arial" w:cs="Arial" w:eastAsia="Arial" w:hAnsi="Arial"/>
                <w:sz w:val="16"/>
                <w:szCs w:val="16"/>
                <w:color w:val="auto"/>
              </w:rPr>
              <w:t>Fair value remeasurement</w:t>
            </w:r>
          </w:p>
        </w:tc>
        <w:tc>
          <w:tcPr>
            <w:tcW w:w="398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(5,600)</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195"/>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 of December 31</w:t>
            </w:r>
          </w:p>
        </w:tc>
        <w:tc>
          <w:tcPr>
            <w:tcW w:w="37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16,000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b w:val="1"/>
                <w:bCs w:val="1"/>
                <w:color w:val="auto"/>
                <w:w w:val="87"/>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6"/>
                <w:szCs w:val="16"/>
                <w:b w:val="1"/>
                <w:bCs w:val="1"/>
                <w:color w:val="auto"/>
                <w:w w:val="87"/>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577"/>
        </w:trPr>
        <w:tc>
          <w:tcPr>
            <w:tcW w:w="35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1706"/>
              <w:spacing w:after="0"/>
              <w:rPr>
                <w:sz w:val="20"/>
                <w:szCs w:val="20"/>
                <w:color w:val="auto"/>
              </w:rPr>
            </w:pPr>
            <w:r>
              <w:rPr>
                <w:rFonts w:ascii="Arial" w:cs="Arial" w:eastAsia="Arial" w:hAnsi="Arial"/>
                <w:sz w:val="16"/>
                <w:szCs w:val="16"/>
                <w:color w:val="auto"/>
              </w:rPr>
              <w:t>F-66</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792" w:right="31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Public warrants were issued by the SPAC to certain shareholders whereas prior to the Transaction such public warrants (together with the private warrants issued to the SPAC sponsors) were exchanged, on a one per one basis, for warrants in the Group’s ordinary shares. The public warrants have the following terms:</w:t>
      </w:r>
    </w:p>
    <w:p>
      <w:pPr>
        <w:spacing w:after="0" w:line="129" w:lineRule="exact"/>
        <w:rPr>
          <w:sz w:val="20"/>
          <w:szCs w:val="20"/>
          <w:color w:val="auto"/>
        </w:rPr>
      </w:pPr>
    </w:p>
    <w:p>
      <w:pPr>
        <w:ind w:left="560" w:hanging="278"/>
        <w:spacing w:after="0"/>
        <w:tabs>
          <w:tab w:leader="none" w:pos="5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Each whole warrant entitles the holder to purchase one ordinary share at an exercise price of $11.50</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warrant is exercisable post Transaction and expires on the earlier of:</w:t>
      </w:r>
    </w:p>
    <w:p>
      <w:pPr>
        <w:spacing w:after="0" w:line="198"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   5 years after the completion of the Transaction, i.e. September 29, 2026</w:t>
      </w:r>
    </w:p>
    <w:p>
      <w:pPr>
        <w:spacing w:after="0" w:line="198"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   the Redemption Date, or</w:t>
      </w:r>
    </w:p>
    <w:p>
      <w:pPr>
        <w:spacing w:after="0" w:line="198"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   the liquidation of the Group.</w:t>
      </w:r>
    </w:p>
    <w:p>
      <w:pPr>
        <w:spacing w:after="0" w:line="198" w:lineRule="exact"/>
        <w:rPr>
          <w:rFonts w:ascii="Arial" w:cs="Arial" w:eastAsia="Arial" w:hAnsi="Arial"/>
          <w:sz w:val="16"/>
          <w:szCs w:val="16"/>
          <w:color w:val="auto"/>
        </w:rPr>
      </w:pPr>
    </w:p>
    <w:p>
      <w:pPr>
        <w:ind w:left="560" w:hanging="278"/>
        <w:spacing w:after="0" w:line="275" w:lineRule="auto"/>
        <w:tabs>
          <w:tab w:leader="none" w:pos="5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Group may redeem the outstanding warrants, in whole and not in part, at a price of $0.01 per warrant at any time while the warrants are exercisable upon a minimum of 30 days prior written notice of redemption:</w:t>
      </w:r>
    </w:p>
    <w:p>
      <w:pPr>
        <w:spacing w:after="0" w:line="151" w:lineRule="exact"/>
        <w:rPr>
          <w:rFonts w:ascii="Arial" w:cs="Arial" w:eastAsia="Arial" w:hAnsi="Arial"/>
          <w:sz w:val="16"/>
          <w:szCs w:val="16"/>
          <w:color w:val="auto"/>
        </w:rPr>
      </w:pPr>
    </w:p>
    <w:p>
      <w:pPr>
        <w:ind w:left="1140" w:right="20" w:hanging="287"/>
        <w:spacing w:after="0" w:line="262" w:lineRule="auto"/>
        <w:rPr>
          <w:rFonts w:ascii="Arial" w:cs="Arial" w:eastAsia="Arial" w:hAnsi="Arial"/>
          <w:sz w:val="16"/>
          <w:szCs w:val="16"/>
          <w:color w:val="auto"/>
        </w:rPr>
      </w:pPr>
      <w:r>
        <w:rPr>
          <w:rFonts w:ascii="Arial" w:cs="Arial" w:eastAsia="Arial" w:hAnsi="Arial"/>
          <w:sz w:val="16"/>
          <w:szCs w:val="16"/>
          <w:color w:val="auto"/>
        </w:rPr>
        <w:t>– if, and only if, the last sales price of the common stock equals or exceeds $18.00 per share (as adjusted for stock splits, stock dividends, reorganizations, recapitalization and the like) on each of twenty (20) trading days within any thirty (30) trading day period ending on the third trading day prior to the date on which notice of redemption is given.</w:t>
      </w:r>
    </w:p>
    <w:p>
      <w:pPr>
        <w:spacing w:after="0" w:line="162" w:lineRule="exact"/>
        <w:rPr>
          <w:rFonts w:ascii="Arial" w:cs="Arial" w:eastAsia="Arial" w:hAnsi="Arial"/>
          <w:sz w:val="16"/>
          <w:szCs w:val="16"/>
          <w:color w:val="auto"/>
        </w:rPr>
      </w:pPr>
    </w:p>
    <w:p>
      <w:pPr>
        <w:ind w:left="1140" w:hanging="287"/>
        <w:spacing w:after="0" w:line="262" w:lineRule="auto"/>
        <w:rPr>
          <w:rFonts w:ascii="Arial" w:cs="Arial" w:eastAsia="Arial" w:hAnsi="Arial"/>
          <w:sz w:val="16"/>
          <w:szCs w:val="16"/>
          <w:color w:val="auto"/>
        </w:rPr>
      </w:pPr>
      <w:r>
        <w:rPr>
          <w:rFonts w:ascii="Arial" w:cs="Arial" w:eastAsia="Arial" w:hAnsi="Arial"/>
          <w:sz w:val="16"/>
          <w:szCs w:val="16"/>
          <w:color w:val="auto"/>
        </w:rPr>
        <w:t>– however, that if and when the Public Warrants become redeemable by the Group, the Group may not exercise such redemption right if the issuance of Ordinary Shares upon exercise of the Public Warrants is not exempt from registration or qualification under applicable state blue sky laws or the Group is unable to effect such registration or qualification.</w:t>
      </w:r>
    </w:p>
    <w:p>
      <w:pPr>
        <w:spacing w:after="0" w:line="162" w:lineRule="exact"/>
        <w:rPr>
          <w:rFonts w:ascii="Arial" w:cs="Arial" w:eastAsia="Arial" w:hAnsi="Arial"/>
          <w:sz w:val="16"/>
          <w:szCs w:val="16"/>
          <w:color w:val="auto"/>
        </w:rPr>
      </w:pPr>
    </w:p>
    <w:p>
      <w:pPr>
        <w:ind w:left="560" w:hanging="278"/>
        <w:spacing w:after="0" w:line="275" w:lineRule="auto"/>
        <w:tabs>
          <w:tab w:leader="none" w:pos="5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Public Warrants may be exercised, for cash (or on a “cashless basis”) at any time after notice of redemption shall have been given by the Company and prior to the Redemption Date.</w:t>
      </w:r>
    </w:p>
    <w:p>
      <w:pPr>
        <w:spacing w:after="0" w:line="152"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The Public Warrants are redeemable on the occurrence of change in control (merger, re-organization, tender offer, exchange), and the Group does not have an unconditional right to avoid delivering cash, the Public Warrants meet the criteria for classification as a financial liability. In addition, Warrants may be settled in a variable number of shares in case of cashless basis of exercise. Therefore, the Public Warrants meet the criteria for classification as financial liability.</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Additionally, Public Warrants also meet the definition of a derivative, which may be settled other than by the exchange of a fixed amount of cash for a fixed number of the entity’s shares. Therefore, Public Warrants are derivatives that are classified as financial liability.</w:t>
      </w:r>
    </w:p>
    <w:p>
      <w:pPr>
        <w:spacing w:after="0" w:line="15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The public warrants were traded on Nasdaq and the closing trade price on 29 September, 2021 was used to measure their fair value. On 30 September, 2021, the warrants had a fair value of $21,600 (20,000,000 warrants valued at $1.08 each), which is included as a Finance expense in the consolidated statement of profit or loss.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Arial" w:cs="Arial" w:eastAsia="Arial" w:hAnsi="Arial"/>
                <w:sz w:val="16"/>
                <w:szCs w:val="16"/>
                <w:color w:val="auto"/>
              </w:rPr>
              <w:t>Note 25.2. Private warrants</w:t>
            </w:r>
          </w:p>
        </w:tc>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8"/>
        </w:trPr>
        <w:tc>
          <w:tcPr>
            <w:tcW w:w="4540" w:type="dxa"/>
            <w:vAlign w:val="bottom"/>
            <w:tcBorders>
              <w:bottom w:val="single" w:sz="8" w:color="CCEEFF"/>
            </w:tcBorders>
          </w:tcPr>
          <w:p>
            <w:pPr>
              <w:spacing w:after="0"/>
              <w:rPr>
                <w:sz w:val="24"/>
                <w:szCs w:val="24"/>
                <w:color w:val="auto"/>
              </w:rPr>
            </w:pPr>
          </w:p>
        </w:tc>
        <w:tc>
          <w:tcPr>
            <w:tcW w:w="27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4"/>
                <w:szCs w:val="24"/>
                <w:color w:val="auto"/>
              </w:rPr>
            </w:pPr>
          </w:p>
        </w:tc>
      </w:tr>
      <w:tr>
        <w:trPr>
          <w:trHeight w:val="191"/>
        </w:trPr>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January 1</w:t>
            </w:r>
          </w:p>
        </w:tc>
        <w:tc>
          <w:tcPr>
            <w:tcW w:w="27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b w:val="1"/>
                <w:bCs w:val="1"/>
                <w:color w:val="auto"/>
                <w:w w:val="87"/>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ind w:left="700"/>
              <w:spacing w:after="0"/>
              <w:rPr>
                <w:sz w:val="20"/>
                <w:szCs w:val="20"/>
                <w:color w:val="auto"/>
              </w:rPr>
            </w:pPr>
            <w:r>
              <w:rPr>
                <w:rFonts w:ascii="Arial" w:cs="Arial" w:eastAsia="Arial" w:hAnsi="Arial"/>
                <w:sz w:val="16"/>
                <w:szCs w:val="16"/>
                <w:b w:val="1"/>
                <w:bCs w:val="1"/>
                <w:color w:val="auto"/>
                <w:w w:val="87"/>
              </w:rPr>
              <w:t>—</w:t>
            </w:r>
          </w:p>
        </w:tc>
        <w:tc>
          <w:tcPr>
            <w:tcW w:w="120" w:type="dxa"/>
            <w:vAlign w:val="bottom"/>
            <w:shd w:val="clear" w:color="auto" w:fill="CCEEFF"/>
          </w:tcPr>
          <w:p>
            <w:pPr>
              <w:spacing w:after="0"/>
              <w:rPr>
                <w:sz w:val="16"/>
                <w:szCs w:val="16"/>
                <w:color w:val="auto"/>
              </w:rPr>
            </w:pPr>
          </w:p>
        </w:tc>
      </w:tr>
      <w:tr>
        <w:trPr>
          <w:trHeight w:val="191"/>
        </w:trPr>
        <w:tc>
          <w:tcPr>
            <w:tcW w:w="4540" w:type="dxa"/>
            <w:vAlign w:val="bottom"/>
          </w:tcPr>
          <w:p>
            <w:pPr>
              <w:spacing w:after="0"/>
              <w:rPr>
                <w:sz w:val="20"/>
                <w:szCs w:val="20"/>
                <w:color w:val="auto"/>
              </w:rPr>
            </w:pPr>
            <w:r>
              <w:rPr>
                <w:rFonts w:ascii="Arial" w:cs="Arial" w:eastAsia="Arial" w:hAnsi="Arial"/>
                <w:sz w:val="16"/>
                <w:szCs w:val="16"/>
                <w:color w:val="auto"/>
              </w:rPr>
              <w:t>Acquired private warrants</w:t>
            </w:r>
          </w:p>
        </w:tc>
        <w:tc>
          <w:tcPr>
            <w:tcW w:w="30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7,363</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23"/>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Fair value remeasurement</w:t>
            </w:r>
          </w:p>
        </w:tc>
        <w:tc>
          <w:tcPr>
            <w:tcW w:w="30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(251)</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r>
      <w:tr>
        <w:trPr>
          <w:trHeight w:val="179"/>
        </w:trPr>
        <w:tc>
          <w:tcPr>
            <w:tcW w:w="454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As of December 31</w:t>
            </w:r>
          </w:p>
        </w:tc>
        <w:tc>
          <w:tcPr>
            <w:tcW w:w="278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7,112</w:t>
            </w:r>
          </w:p>
        </w:tc>
        <w:tc>
          <w:tcPr>
            <w:tcW w:w="24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ind w:left="720"/>
              <w:spacing w:after="0" w:line="175" w:lineRule="exact"/>
              <w:rPr>
                <w:sz w:val="20"/>
                <w:szCs w:val="20"/>
                <w:color w:val="auto"/>
              </w:rPr>
            </w:pPr>
            <w:r>
              <w:rPr>
                <w:rFonts w:ascii="Arial" w:cs="Arial" w:eastAsia="Arial" w:hAnsi="Arial"/>
                <w:sz w:val="16"/>
                <w:szCs w:val="16"/>
                <w:b w:val="1"/>
                <w:bCs w:val="1"/>
                <w:color w:val="auto"/>
                <w:w w:val="87"/>
              </w:rPr>
              <w:t>—</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ind w:left="700"/>
              <w:spacing w:after="0" w:line="175" w:lineRule="exact"/>
              <w:rPr>
                <w:sz w:val="20"/>
                <w:szCs w:val="20"/>
                <w:color w:val="auto"/>
              </w:rPr>
            </w:pPr>
            <w:r>
              <w:rPr>
                <w:rFonts w:ascii="Arial" w:cs="Arial" w:eastAsia="Arial" w:hAnsi="Arial"/>
                <w:sz w:val="16"/>
                <w:szCs w:val="16"/>
                <w:b w:val="1"/>
                <w:bCs w:val="1"/>
                <w:color w:val="auto"/>
                <w:w w:val="87"/>
              </w:rPr>
              <w:t>—</w:t>
            </w:r>
          </w:p>
        </w:tc>
        <w:tc>
          <w:tcPr>
            <w:tcW w:w="12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Simultaneously with the closing of the initial public offering of the SPAC, the SPAC consummated the sale of 6,250,000 warrants (the “SPAC Private Placement Warrants”) at a price of $1.00 per warrant in a private placement to the SPAC Sponsors, generating gross proceeds of $6,250. Pursuant to the Business Combination Agreement, the Company entered into an Assignment, Assumption and Amendment Agreement with SPAC and the Warrant Agent to amend and assume SPAC’s obligations under the existing Warrant Agreement and to give effect to the conversion of SPAC public warrants and SPAC Private Placement Warrants to Holdco public warrants and Holdco private warrants (the “Private Warrants”), respectively.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Additionally, immediately prior to the consummation of the Transaction, the SPAC Sponsors forfeited 2,875,000 SPAC Private Placement Warrants and, in connection with consummation of the Transaction, placed 2,875,000 Private Warrants in escrow.</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Private Warrants have the following terms:</w:t>
      </w:r>
    </w:p>
    <w:p>
      <w:pPr>
        <w:spacing w:after="0" w:line="198" w:lineRule="exact"/>
        <w:rPr>
          <w:sz w:val="20"/>
          <w:szCs w:val="20"/>
          <w:color w:val="auto"/>
        </w:rPr>
      </w:pPr>
    </w:p>
    <w:p>
      <w:pPr>
        <w:ind w:left="560" w:hanging="278"/>
        <w:spacing w:after="0"/>
        <w:tabs>
          <w:tab w:leader="none" w:pos="5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warrant entitles the holder to purchase one ordinary share at an exercise price of $11.50 per share. Only whole warrants are exercisable.</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Exercisable post Transaction and expires on the earlier of:</w:t>
      </w:r>
    </w:p>
    <w:p>
      <w:pPr>
        <w:spacing w:after="0" w:line="198"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   5 years after the completion of the Transaction,</w:t>
      </w:r>
    </w:p>
    <w:p>
      <w:pPr>
        <w:spacing w:after="0" w:line="198"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   the Redemption Date, or</w:t>
      </w:r>
    </w:p>
    <w:p>
      <w:pPr>
        <w:spacing w:after="0" w:line="198"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   the liquidation of the Group.</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Redemption for cash shall not apply.</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The Private Warrants are redeemable on the occurrence of change in control (merger, re-organization, tender offer, exchange), and the Group does not have an unconditional right to avoid delivering cash, the Private Warrants meet the criteria for classification as a financial liability. In addition, Warrants may be settled in a variable number of shares in case of cashless basis of exercise. Therefore, the Private Warrants meet the criteria for classification as financial liability.</w:t>
      </w:r>
    </w:p>
    <w:p>
      <w:pPr>
        <w:spacing w:after="0" w:line="14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Additionally, Private Warrants are classified as derivatives and financial liabilities, these shall be initially measured at fair value, with subsequent changes in fair value recognized in profit and loss. Refer to Note 9. Finance expenses, net.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Warrants in escrow</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On March 31, 2021, concurrently with the execution of the Business Combination Agreement, the SPAC, the Company, OpCo, certain OpCo Shareholders and certain shareholders of the SPAC prior to the consummation of the Transaction (including the SPAC Sponsors), entered into the Transaction Support Agreement, pursuant to which the SPAC Sponsors agreed to forfeit 2,875,000 of their Private Placement Warrants immediately prior to the Merger and to subject certain of their Holdco Ordinary Shares and Private Warrants to certain restrictions by depositing such securities in an escrow account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Warrants in Escrow shall be treated as follows:</w:t>
      </w:r>
    </w:p>
    <w:p>
      <w:pPr>
        <w:spacing w:after="0" w:line="198" w:lineRule="exact"/>
        <w:rPr>
          <w:sz w:val="20"/>
          <w:szCs w:val="20"/>
          <w:color w:val="auto"/>
        </w:rPr>
      </w:pPr>
    </w:p>
    <w:p>
      <w:pPr>
        <w:jc w:val="both"/>
        <w:ind w:left="560" w:right="20" w:hanging="278"/>
        <w:spacing w:after="0" w:line="280" w:lineRule="auto"/>
        <w:tabs>
          <w:tab w:leader="none" w:pos="5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First Level Release Target: The escrow agent shall hold 1,437,500 SPAC Sponsor Private Warrants (the “First Level Sponsor Escrow Warrants”) in escrow until the earlier to occur of (a) the date on which the closing price of the Holdco Ordinary Shares on the Nasdaq Stock Market equals or exceeds $12.50 per Holdco Ordinary Share (as adjusted for stock splits, stock dividends, reorganizations, recapitalizations and the like) for any 20 trading days within any 30-day trading period, or (b) the date that is the fifth (5th) anniversary of the closing of the Transaction (the “Five Year Expiration Date”).</w:t>
      </w:r>
    </w:p>
    <w:p>
      <w:pPr>
        <w:spacing w:after="0" w:line="151" w:lineRule="exact"/>
        <w:rPr>
          <w:rFonts w:ascii="Arial" w:cs="Arial" w:eastAsia="Arial" w:hAnsi="Arial"/>
          <w:sz w:val="15"/>
          <w:szCs w:val="15"/>
          <w:color w:val="auto"/>
        </w:rPr>
      </w:pPr>
    </w:p>
    <w:p>
      <w:pPr>
        <w:jc w:val="both"/>
        <w:ind w:left="560" w:right="20" w:hanging="278"/>
        <w:spacing w:after="0" w:line="258" w:lineRule="auto"/>
        <w:tabs>
          <w:tab w:leader="none" w:pos="5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Second Level Release Target: The escrow agent shall hold 1,437,500 SPAC Sponsor Private Warrants (the “Second Level Sponsor Escrow Warrants”) in escrow until the earlier to occur of (a) the date on which the closing price of the Holdco Ordinary Shares on the Nasdaq Stock Market equals or exceeds $13.00 per Holdco Ordinary Share (as adjusted for stock splits, stock dividends, reorganizations, recapitalizations and the like) for any 20 trading days within any 30-day trading period, or (b) the Five-Year Expiration Date.</w:t>
      </w:r>
    </w:p>
    <w:p>
      <w:pPr>
        <w:spacing w:after="0" w:line="164" w:lineRule="exact"/>
        <w:rPr>
          <w:rFonts w:ascii="Arial" w:cs="Arial" w:eastAsia="Arial" w:hAnsi="Arial"/>
          <w:sz w:val="16"/>
          <w:szCs w:val="16"/>
          <w:color w:val="auto"/>
        </w:rPr>
      </w:pPr>
    </w:p>
    <w:p>
      <w:pPr>
        <w:jc w:val="both"/>
        <w:ind w:left="560" w:hanging="278"/>
        <w:spacing w:after="0" w:line="287" w:lineRule="auto"/>
        <w:tabs>
          <w:tab w:leader="none" w:pos="5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Automatic Release: if Group shall consummate a liquidation, merger, stock exchange or other similar transaction which results in all of the holders having the right to exchange their Holdco Ordinary Shares for cash, securities or other property, then the escrow agent shall (subject to customary escrow notification provisions) promptly release all the First Level Sponsor Escrow Warrants and Second Level Sponsor Escrow Warrants to the SPAC Sponsors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93" w:name="page194"/>
    <w:bookmarkEnd w:id="193"/>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ind w:left="564" w:right="20" w:hanging="278"/>
        <w:spacing w:after="0" w:line="275" w:lineRule="auto"/>
        <w:tabs>
          <w:tab w:leader="none" w:pos="56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Cancellation: On the Five-Year Expiration Date, any First Level Sponsor Escrow Warrants and Second Level Sponsor Escrow Warrants that have not been released and remain in escrow, shall be released by the escrow agent to the Company for cancellation.</w:t>
      </w:r>
    </w:p>
    <w:p>
      <w:pPr>
        <w:spacing w:after="0" w:line="152"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Private Warrants issued by the Holdco which are deposited in escrow and are subject to cancellation if certain conditions are not met are recorded as contingent consideration and therefore initially measured at fair value. Further, since they are liability classified instruments, subsequent changes in fair value are recognized in profit and loss as a Finance expense. Refer to Note 9. Finance expenses, net.</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10020" w:type="dxa"/>
            <w:vAlign w:val="bottom"/>
            <w:gridSpan w:val="2"/>
          </w:tcPr>
          <w:p>
            <w:pPr>
              <w:spacing w:after="0"/>
              <w:rPr>
                <w:sz w:val="20"/>
                <w:szCs w:val="20"/>
                <w:color w:val="auto"/>
              </w:rPr>
            </w:pPr>
            <w:r>
              <w:rPr>
                <w:rFonts w:ascii="Arial" w:cs="Arial" w:eastAsia="Arial" w:hAnsi="Arial"/>
                <w:sz w:val="16"/>
                <w:szCs w:val="16"/>
                <w:b w:val="1"/>
                <w:bCs w:val="1"/>
                <w:color w:val="auto"/>
              </w:rPr>
              <w:t>Note 26. Acquisitions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10020" w:type="dxa"/>
            <w:vAlign w:val="bottom"/>
            <w:gridSpan w:val="2"/>
          </w:tcPr>
          <w:p>
            <w:pPr>
              <w:spacing w:after="0"/>
              <w:rPr>
                <w:sz w:val="20"/>
                <w:szCs w:val="20"/>
                <w:color w:val="auto"/>
              </w:rPr>
            </w:pPr>
            <w:r>
              <w:rPr>
                <w:rFonts w:ascii="Arial" w:cs="Arial" w:eastAsia="Arial" w:hAnsi="Arial"/>
                <w:sz w:val="16"/>
                <w:szCs w:val="16"/>
                <w:i w:val="1"/>
                <w:iCs w:val="1"/>
                <w:color w:val="auto"/>
              </w:rPr>
              <w:t>Note 26.1. Reverse reorganization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10020" w:type="dxa"/>
            <w:vAlign w:val="bottom"/>
            <w:gridSpan w:val="2"/>
          </w:tcPr>
          <w:p>
            <w:pPr>
              <w:spacing w:after="0"/>
              <w:rPr>
                <w:sz w:val="20"/>
                <w:szCs w:val="20"/>
                <w:color w:val="auto"/>
              </w:rPr>
            </w:pPr>
            <w:r>
              <w:rPr>
                <w:rFonts w:ascii="Arial" w:cs="Arial" w:eastAsia="Arial" w:hAnsi="Arial"/>
                <w:sz w:val="16"/>
                <w:szCs w:val="16"/>
                <w:color w:val="auto"/>
              </w:rPr>
              <w:t>As further outlined in Note 2.3, the Company underwent a reverse reorganization as a result of the Transaction.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10020" w:type="dxa"/>
            <w:vAlign w:val="bottom"/>
            <w:gridSpan w:val="2"/>
          </w:tcPr>
          <w:p>
            <w:pPr>
              <w:spacing w:after="0"/>
              <w:rPr>
                <w:sz w:val="20"/>
                <w:szCs w:val="20"/>
                <w:color w:val="auto"/>
              </w:rPr>
            </w:pPr>
            <w:r>
              <w:rPr>
                <w:rFonts w:ascii="Arial" w:cs="Arial" w:eastAsia="Arial" w:hAnsi="Arial"/>
                <w:sz w:val="16"/>
                <w:szCs w:val="16"/>
                <w:color w:val="auto"/>
              </w:rPr>
              <w:t>The amount of the net identifiable assets of $131,086 acquired on September 29, 2021, the date of Transaction, were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10020" w:type="dxa"/>
            <w:vAlign w:val="bottom"/>
            <w:gridSpan w:val="2"/>
          </w:tcPr>
          <w:p>
            <w:pPr>
              <w:spacing w:after="0"/>
              <w:rPr>
                <w:sz w:val="20"/>
                <w:szCs w:val="20"/>
                <w:color w:val="auto"/>
              </w:rPr>
            </w:pPr>
            <w:r>
              <w:rPr>
                <w:rFonts w:ascii="Arial" w:cs="Arial" w:eastAsia="Arial" w:hAnsi="Arial"/>
                <w:sz w:val="16"/>
                <w:szCs w:val="16"/>
                <w:i w:val="1"/>
                <w:iCs w:val="1"/>
                <w:color w:val="auto"/>
              </w:rPr>
              <w:t>(Amount in thousands)</w:t>
            </w:r>
          </w:p>
        </w:tc>
        <w:tc>
          <w:tcPr>
            <w:tcW w:w="240" w:type="dxa"/>
            <w:vAlign w:val="bottom"/>
          </w:tcPr>
          <w:p>
            <w:pPr>
              <w:spacing w:after="0"/>
              <w:rPr>
                <w:sz w:val="24"/>
                <w:szCs w:val="24"/>
                <w:color w:val="auto"/>
              </w:rPr>
            </w:pPr>
          </w:p>
        </w:tc>
        <w:tc>
          <w:tcPr>
            <w:tcW w:w="88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4"/>
                <w:szCs w:val="24"/>
                <w:color w:val="auto"/>
              </w:rPr>
            </w:pPr>
          </w:p>
        </w:tc>
      </w:tr>
      <w:tr>
        <w:trPr>
          <w:trHeight w:val="191"/>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Cash held in trust</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138,046</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1002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100,000</w:t>
            </w:r>
          </w:p>
        </w:tc>
      </w:tr>
      <w:tr>
        <w:trPr>
          <w:trHeight w:val="191"/>
        </w:trPr>
        <w:tc>
          <w:tcPr>
            <w:tcW w:w="10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Redemption liability</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(77,997)</w:t>
            </w:r>
          </w:p>
        </w:tc>
      </w:tr>
      <w:tr>
        <w:trPr>
          <w:trHeight w:val="207"/>
        </w:trPr>
        <w:tc>
          <w:tcPr>
            <w:tcW w:w="10020" w:type="dxa"/>
            <w:vAlign w:val="bottom"/>
            <w:gridSpan w:val="2"/>
          </w:tcPr>
          <w:p>
            <w:pPr>
              <w:spacing w:after="0"/>
              <w:rPr>
                <w:sz w:val="20"/>
                <w:szCs w:val="20"/>
                <w:color w:val="auto"/>
              </w:rPr>
            </w:pPr>
            <w:r>
              <w:rPr>
                <w:rFonts w:ascii="Arial" w:cs="Arial" w:eastAsia="Arial" w:hAnsi="Arial"/>
                <w:sz w:val="16"/>
                <w:szCs w:val="16"/>
                <w:color w:val="auto"/>
              </w:rPr>
              <w:t>Warrants liability</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(28,963)</w:t>
            </w:r>
          </w:p>
        </w:tc>
      </w:tr>
      <w:tr>
        <w:trPr>
          <w:trHeight w:val="195"/>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SPAC identifiable net assets at fair value</w:t>
            </w: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131,086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As Procaps Group S.A. is considered to be the accounting acquirer and the merger between the Procaps Group S.A. and Union Acquisition Corp II (SPAC) would be accounted for as an asset acquisition under IFRS, as the SPAC is not considered a business. IFRS 2 would be applied for the accounting of the transaction if the value of equity interests issued is in excess of the assets received.</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81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After</w:t>
            </w:r>
          </w:p>
        </w:tc>
      </w:tr>
      <w:tr>
        <w:trPr>
          <w:trHeight w:val="212"/>
        </w:trPr>
        <w:tc>
          <w:tcPr>
            <w:tcW w:w="8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0"/>
              </w:rPr>
              <w:t>Redemption</w:t>
            </w:r>
          </w:p>
        </w:tc>
      </w:tr>
      <w:tr>
        <w:trPr>
          <w:trHeight w:val="191"/>
        </w:trPr>
        <w:tc>
          <w:tcPr>
            <w:tcW w:w="8160" w:type="dxa"/>
            <w:vAlign w:val="bottom"/>
          </w:tcPr>
          <w:p>
            <w:pPr>
              <w:spacing w:after="0"/>
              <w:rPr>
                <w:sz w:val="20"/>
                <w:szCs w:val="20"/>
                <w:color w:val="auto"/>
              </w:rPr>
            </w:pPr>
            <w:r>
              <w:rPr>
                <w:rFonts w:ascii="Arial" w:cs="Arial" w:eastAsia="Arial" w:hAnsi="Arial"/>
                <w:sz w:val="16"/>
                <w:szCs w:val="16"/>
                <w:b w:val="1"/>
                <w:bCs w:val="1"/>
                <w:color w:val="auto"/>
              </w:rPr>
              <w:t>Step 1 - Deemed cost of shares issued</w:t>
            </w:r>
          </w:p>
        </w:tc>
        <w:tc>
          <w:tcPr>
            <w:tcW w:w="18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Fair value of OpCo</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926,287</w:t>
            </w:r>
          </w:p>
        </w:tc>
        <w:tc>
          <w:tcPr>
            <w:tcW w:w="160" w:type="dxa"/>
            <w:vAlign w:val="bottom"/>
            <w:shd w:val="clear" w:color="auto" w:fill="CCEEFF"/>
          </w:tcPr>
          <w:p>
            <w:pPr>
              <w:spacing w:after="0"/>
              <w:rPr>
                <w:sz w:val="16"/>
                <w:szCs w:val="16"/>
                <w:color w:val="auto"/>
              </w:rPr>
            </w:pPr>
          </w:p>
        </w:tc>
      </w:tr>
      <w:tr>
        <w:trPr>
          <w:trHeight w:val="191"/>
        </w:trPr>
        <w:tc>
          <w:tcPr>
            <w:tcW w:w="8160" w:type="dxa"/>
            <w:vAlign w:val="bottom"/>
          </w:tcPr>
          <w:p>
            <w:pPr>
              <w:spacing w:after="0"/>
              <w:rPr>
                <w:sz w:val="20"/>
                <w:szCs w:val="20"/>
                <w:color w:val="auto"/>
              </w:rPr>
            </w:pPr>
            <w:r>
              <w:rPr>
                <w:rFonts w:ascii="Arial" w:cs="Arial" w:eastAsia="Arial" w:hAnsi="Arial"/>
                <w:sz w:val="16"/>
                <w:szCs w:val="16"/>
                <w:color w:val="auto"/>
              </w:rPr>
              <w:t>Equity interest in Holdco issued to SPAC shareholders &amp; PIPE investors</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r>
      <w:tr>
        <w:trPr>
          <w:trHeight w:val="191"/>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Equity interest in Holdco of Selling shareholders</w:t>
            </w: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r>
      <w:tr>
        <w:trPr>
          <w:trHeight w:val="191"/>
        </w:trPr>
        <w:tc>
          <w:tcPr>
            <w:tcW w:w="8160" w:type="dxa"/>
            <w:vAlign w:val="bottom"/>
          </w:tcPr>
          <w:p>
            <w:pPr>
              <w:spacing w:after="0"/>
              <w:rPr>
                <w:sz w:val="20"/>
                <w:szCs w:val="20"/>
                <w:color w:val="auto"/>
              </w:rPr>
            </w:pPr>
            <w:r>
              <w:rPr>
                <w:rFonts w:ascii="Arial" w:cs="Arial" w:eastAsia="Arial" w:hAnsi="Arial"/>
                <w:sz w:val="16"/>
                <w:szCs w:val="16"/>
                <w:color w:val="auto"/>
              </w:rPr>
              <w:t>Deemed costs of shares issued*</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213,584</w:t>
            </w:r>
          </w:p>
        </w:tc>
        <w:tc>
          <w:tcPr>
            <w:tcW w:w="160" w:type="dxa"/>
            <w:vAlign w:val="bottom"/>
          </w:tcPr>
          <w:p>
            <w:pPr>
              <w:spacing w:after="0"/>
              <w:rPr>
                <w:sz w:val="16"/>
                <w:szCs w:val="16"/>
                <w:color w:val="auto"/>
              </w:rPr>
            </w:pPr>
          </w:p>
        </w:tc>
      </w:tr>
      <w:tr>
        <w:trPr>
          <w:trHeight w:val="223"/>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SPAC identifiable net assets at fair value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131,086</w:t>
            </w:r>
          </w:p>
        </w:tc>
        <w:tc>
          <w:tcPr>
            <w:tcW w:w="160" w:type="dxa"/>
            <w:vAlign w:val="bottom"/>
            <w:shd w:val="clear" w:color="auto" w:fill="CCEEFF"/>
          </w:tcPr>
          <w:p>
            <w:pPr>
              <w:spacing w:after="0"/>
              <w:rPr>
                <w:sz w:val="19"/>
                <w:szCs w:val="19"/>
                <w:color w:val="auto"/>
              </w:rPr>
            </w:pPr>
          </w:p>
        </w:tc>
      </w:tr>
      <w:tr>
        <w:trPr>
          <w:trHeight w:val="175"/>
        </w:trPr>
        <w:tc>
          <w:tcPr>
            <w:tcW w:w="816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Deemed cost of shares issued</w:t>
            </w:r>
          </w:p>
        </w:tc>
        <w:tc>
          <w:tcPr>
            <w:tcW w:w="18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82,498</w:t>
            </w:r>
          </w:p>
        </w:tc>
        <w:tc>
          <w:tcPr>
            <w:tcW w:w="160" w:type="dxa"/>
            <w:vAlign w:val="bottom"/>
            <w:tcBorders>
              <w:top w:val="single" w:sz="8" w:color="CCEEFF"/>
            </w:tcBorders>
          </w:tcPr>
          <w:p>
            <w:pPr>
              <w:spacing w:after="0"/>
              <w:rPr>
                <w:sz w:val="15"/>
                <w:szCs w:val="15"/>
                <w:color w:val="auto"/>
              </w:rPr>
            </w:pPr>
          </w:p>
        </w:tc>
      </w:tr>
      <w:tr>
        <w:trPr>
          <w:trHeight w:val="191"/>
        </w:trPr>
        <w:tc>
          <w:tcPr>
            <w:tcW w:w="8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Step 2 - Dilutive impact of shares held in escrow</w:t>
            </w: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7"/>
        </w:trPr>
        <w:tc>
          <w:tcPr>
            <w:tcW w:w="8160" w:type="dxa"/>
            <w:vAlign w:val="bottom"/>
          </w:tcPr>
          <w:p>
            <w:pPr>
              <w:spacing w:after="0"/>
              <w:rPr>
                <w:sz w:val="20"/>
                <w:szCs w:val="20"/>
                <w:color w:val="auto"/>
              </w:rPr>
            </w:pPr>
            <w:r>
              <w:rPr>
                <w:rFonts w:ascii="Arial" w:cs="Arial" w:eastAsia="Arial" w:hAnsi="Arial"/>
                <w:sz w:val="16"/>
                <w:szCs w:val="16"/>
                <w:color w:val="auto"/>
              </w:rPr>
              <w:t>Dilutive effect of 945,036 shares held in escrow at a weighted average fair value per share of $9.08</w:t>
            </w: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8,581</w:t>
            </w:r>
          </w:p>
        </w:tc>
        <w:tc>
          <w:tcPr>
            <w:tcW w:w="160" w:type="dxa"/>
            <w:vAlign w:val="bottom"/>
          </w:tcPr>
          <w:p>
            <w:pPr>
              <w:spacing w:after="0"/>
              <w:rPr>
                <w:sz w:val="18"/>
                <w:szCs w:val="18"/>
                <w:color w:val="auto"/>
              </w:rPr>
            </w:pPr>
          </w:p>
        </w:tc>
      </w:tr>
      <w:tr>
        <w:trPr>
          <w:trHeight w:val="195"/>
        </w:trPr>
        <w:tc>
          <w:tcPr>
            <w:tcW w:w="8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Step 3 - IFRS 2 ‘listing expense’</w:t>
            </w:r>
          </w:p>
        </w:tc>
        <w:tc>
          <w:tcPr>
            <w:tcW w:w="18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73,917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ind w:left="284" w:right="20" w:hanging="284"/>
        <w:spacing w:after="0" w:line="275" w:lineRule="auto"/>
        <w:tabs>
          <w:tab w:leader="none" w:pos="284" w:val="left"/>
        </w:tabs>
        <w:numPr>
          <w:ilvl w:val="0"/>
          <w:numId w:val="113"/>
        </w:numPr>
        <w:rPr>
          <w:rFonts w:ascii="Arial" w:cs="Arial" w:eastAsia="Arial" w:hAnsi="Arial"/>
          <w:sz w:val="16"/>
          <w:szCs w:val="16"/>
          <w:i w:val="1"/>
          <w:iCs w:val="1"/>
          <w:color w:val="auto"/>
        </w:rPr>
      </w:pPr>
      <w:r>
        <w:rPr>
          <w:rFonts w:ascii="Arial" w:cs="Arial" w:eastAsia="Arial" w:hAnsi="Arial"/>
          <w:sz w:val="16"/>
          <w:szCs w:val="16"/>
          <w:i w:val="1"/>
          <w:iCs w:val="1"/>
          <w:color w:val="auto"/>
        </w:rPr>
        <w:t>The deem cost of the shares was estimated based on the fair value of the OpCo issued shares (legacy Crynssen Pharma Group Limited) prior to the merger with SPAC and Holdco.</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IFRS 2 ‘listing expense’ per above, has been recognized in profit and loss within O</w:t>
      </w:r>
      <w:r>
        <w:rPr>
          <w:rFonts w:ascii="Arial" w:cs="Arial" w:eastAsia="Arial" w:hAnsi="Arial"/>
          <w:sz w:val="16"/>
          <w:szCs w:val="16"/>
          <w:i w:val="1"/>
          <w:iCs w:val="1"/>
          <w:color w:val="auto"/>
        </w:rPr>
        <w:t>ther</w:t>
      </w:r>
      <w:r>
        <w:rPr>
          <w:rFonts w:ascii="Arial" w:cs="Arial" w:eastAsia="Arial" w:hAnsi="Arial"/>
          <w:sz w:val="16"/>
          <w:szCs w:val="16"/>
          <w:color w:val="auto"/>
        </w:rPr>
        <w:t xml:space="preserve"> expenses, net. Refer to Note 10. Other expenses, net.</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a result of the transaction, prepaid expenses of $4,602 have been recognized in Other current assets.</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194" w:name="page195"/>
    <w:bookmarkEnd w:id="194"/>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Shares in an escrow</w:t>
      </w:r>
    </w:p>
    <w:p>
      <w:pPr>
        <w:spacing w:after="0" w:line="198" w:lineRule="exact"/>
        <w:rPr>
          <w:sz w:val="20"/>
          <w:szCs w:val="20"/>
          <w:color w:val="auto"/>
        </w:rPr>
      </w:pPr>
    </w:p>
    <w:p>
      <w:pPr>
        <w:jc w:val="both"/>
        <w:ind w:left="4"/>
        <w:spacing w:after="0" w:line="275" w:lineRule="auto"/>
        <w:rPr>
          <w:sz w:val="20"/>
          <w:szCs w:val="20"/>
          <w:color w:val="auto"/>
        </w:rPr>
      </w:pPr>
      <w:r>
        <w:rPr>
          <w:rFonts w:ascii="Arial" w:cs="Arial" w:eastAsia="Arial" w:hAnsi="Arial"/>
          <w:sz w:val="16"/>
          <w:szCs w:val="16"/>
          <w:color w:val="auto"/>
        </w:rPr>
        <w:t>Holdco Ordinary Shares in an escrow are subject to an arrangement that is applicable to 1,250,000 Holdco Ordinary Shares issued to the SPAC Sponsors and 10,464,612 Holdco Ordinary Shares issued to certain Opco Shareholders.</w:t>
      </w:r>
    </w:p>
    <w:p>
      <w:pPr>
        <w:spacing w:after="0" w:line="152" w:lineRule="exact"/>
        <w:rPr>
          <w:sz w:val="20"/>
          <w:szCs w:val="20"/>
          <w:color w:val="auto"/>
        </w:rPr>
      </w:pPr>
    </w:p>
    <w:p>
      <w:pPr>
        <w:jc w:val="both"/>
        <w:ind w:left="4"/>
        <w:spacing w:after="0" w:line="262" w:lineRule="auto"/>
        <w:rPr>
          <w:sz w:val="20"/>
          <w:szCs w:val="20"/>
          <w:color w:val="auto"/>
        </w:rPr>
      </w:pPr>
      <w:r>
        <w:rPr>
          <w:rFonts w:ascii="Arial" w:cs="Arial" w:eastAsia="Arial" w:hAnsi="Arial"/>
          <w:sz w:val="16"/>
          <w:szCs w:val="16"/>
          <w:color w:val="auto"/>
        </w:rPr>
        <w:t>Certain market conditions will be required to be met after the Transaction for these securities in escrow to be released to the eligible securities owners. If the market conditions wouldn’t be met within a defined time period (five years for warrants in escrow and ten years for Holdco Ordinary Shares in escrow), such securities in escrow would be forfeited.</w:t>
      </w:r>
    </w:p>
    <w:p>
      <w:pPr>
        <w:spacing w:after="0" w:line="158" w:lineRule="exact"/>
        <w:rPr>
          <w:sz w:val="20"/>
          <w:szCs w:val="20"/>
          <w:color w:val="auto"/>
        </w:rPr>
      </w:pPr>
    </w:p>
    <w:p>
      <w:pPr>
        <w:jc w:val="both"/>
        <w:ind w:left="4" w:hanging="4"/>
        <w:spacing w:after="0" w:line="254" w:lineRule="auto"/>
        <w:tabs>
          <w:tab w:leader="none" w:pos="187"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Sponsors’ Holdco Ordinary Shares in escrow</w:t>
      </w:r>
      <w:r>
        <w:rPr>
          <w:rFonts w:ascii="Arial" w:cs="Arial" w:eastAsia="Arial" w:hAnsi="Arial"/>
          <w:sz w:val="16"/>
          <w:szCs w:val="16"/>
          <w:color w:val="auto"/>
        </w:rPr>
        <w:t>: On the closing of the Transaction, 1,250,000 Holdco Ordinary Shares received in exchange for the equivalent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SPAC Ordinary Shares upon the consummation of the Merger (the “Sponsor Escrowed Securities”) held by the SPAC Sponsors were deposited in escrow. Fifty percent (50%) of the Sponsor Escrowed Securities will be released to the SPAC Sponsors if the closing price of the Holdco Ordinary Shares on the Nasdaq Stock Market equals or exceeds $12.50 per Holdco Ordinary Share for any 20 trading days within any 30-day trading period, and the remaining 50% of the Sponsor Escrowed Securities will be released to the Sponsors if the closing price of the Holdco Ordinary Shares on the Nasdaq Stock Market equals or exceeds $13.00 per Holdco Ordinary Share for any 20 trading days within any 30-day trading period (in each case, subject to any applicable lock-up restrictions under the Registration Rights and Lock-Up Agreement or any other applicable escrow arrangement).</w:t>
      </w:r>
    </w:p>
    <w:p>
      <w:pPr>
        <w:spacing w:after="0" w:line="166" w:lineRule="exact"/>
        <w:rPr>
          <w:rFonts w:ascii="Arial" w:cs="Arial" w:eastAsia="Arial" w:hAnsi="Arial"/>
          <w:sz w:val="16"/>
          <w:szCs w:val="16"/>
          <w:b w:val="1"/>
          <w:bCs w:val="1"/>
          <w:color w:val="auto"/>
        </w:rPr>
      </w:pPr>
    </w:p>
    <w:p>
      <w:pPr>
        <w:jc w:val="both"/>
        <w:ind w:left="4" w:hanging="4"/>
        <w:spacing w:after="0" w:line="302" w:lineRule="auto"/>
        <w:tabs>
          <w:tab w:leader="none" w:pos="190" w:val="left"/>
        </w:tabs>
        <w:numPr>
          <w:ilvl w:val="0"/>
          <w:numId w:val="114"/>
        </w:numPr>
        <w:rPr>
          <w:rFonts w:ascii="Arial" w:cs="Arial" w:eastAsia="Arial" w:hAnsi="Arial"/>
          <w:sz w:val="14"/>
          <w:szCs w:val="14"/>
          <w:b w:val="1"/>
          <w:bCs w:val="1"/>
          <w:color w:val="auto"/>
        </w:rPr>
      </w:pPr>
      <w:r>
        <w:rPr>
          <w:rFonts w:ascii="Arial" w:cs="Arial" w:eastAsia="Arial" w:hAnsi="Arial"/>
          <w:sz w:val="14"/>
          <w:szCs w:val="14"/>
          <w:b w:val="1"/>
          <w:bCs w:val="1"/>
          <w:color w:val="auto"/>
        </w:rPr>
        <w:t>Eligible Procaps Shareholders Holdco Ordinary Shares in escrow</w:t>
      </w:r>
      <w:r>
        <w:rPr>
          <w:rFonts w:ascii="Arial" w:cs="Arial" w:eastAsia="Arial" w:hAnsi="Arial"/>
          <w:sz w:val="14"/>
          <w:szCs w:val="14"/>
          <w:color w:val="auto"/>
        </w:rPr>
        <w:t>: On the closing of the Transaction, 10,464,612 Holdco Ordinary Shares received in the Exchange (the</w:t>
      </w:r>
      <w:r>
        <w:rPr>
          <w:rFonts w:ascii="Arial" w:cs="Arial" w:eastAsia="Arial" w:hAnsi="Arial"/>
          <w:sz w:val="14"/>
          <w:szCs w:val="14"/>
          <w:b w:val="1"/>
          <w:bCs w:val="1"/>
          <w:color w:val="auto"/>
        </w:rPr>
        <w:t xml:space="preserve"> </w:t>
      </w:r>
      <w:r>
        <w:rPr>
          <w:rFonts w:ascii="Arial" w:cs="Arial" w:eastAsia="Arial" w:hAnsi="Arial"/>
          <w:sz w:val="14"/>
          <w:szCs w:val="14"/>
          <w:color w:val="auto"/>
        </w:rPr>
        <w:t>“ECS Escrowed Securities”) by certain OpCo Shareholders were deposited in escrow. Fifty percent (50%) of the ECS Escrowed Securities will be released to such OpCo Shareholders if the closing price of the Holdco Ordinary Shares on the Nasdaq Stock Market equals or exceeds $12.50 per Holdco Ordinary Share for any 20 trading days within any 30-day trading period, and the remaining 50% of the ECS Escrowed Securities will be released to such OpCo Shareholders if the closing price of the Holdco Ordinary Shares on the Nasdaq Stock Market equals or exceeds $13.00 per Holdco Ordinary Share for any 20 trading days within any 30-day trading period.</w:t>
      </w:r>
    </w:p>
    <w:p>
      <w:pPr>
        <w:spacing w:after="0" w:line="138" w:lineRule="exact"/>
        <w:rPr>
          <w:sz w:val="20"/>
          <w:szCs w:val="20"/>
          <w:color w:val="auto"/>
        </w:rPr>
      </w:pPr>
    </w:p>
    <w:p>
      <w:pPr>
        <w:jc w:val="both"/>
        <w:ind w:left="4" w:right="20"/>
        <w:spacing w:after="0" w:line="317" w:lineRule="auto"/>
        <w:rPr>
          <w:sz w:val="20"/>
          <w:szCs w:val="20"/>
          <w:color w:val="auto"/>
        </w:rPr>
      </w:pPr>
      <w:r>
        <w:rPr>
          <w:rFonts w:ascii="Arial" w:cs="Arial" w:eastAsia="Arial" w:hAnsi="Arial"/>
          <w:sz w:val="14"/>
          <w:szCs w:val="14"/>
          <w:color w:val="auto"/>
        </w:rPr>
        <w:t>If the market conditions wouldn’t be met within a defined time period (ten years for ordinary shares in escrow), such securities in escrow would be forfeited. All dividends payable, whether in cash, stock or other non-cash property with respect to the Sponsor Escrowed Securities and the ECS Escrowed Securities while such securities are held in escrow will be delivered to the escrow agent to hold and distribute in the same manner as the Sponsor Escrowed Securities and the ECS Escrowed Securities held in escrow.</w:t>
      </w:r>
    </w:p>
    <w:p>
      <w:pPr>
        <w:spacing w:after="0" w:line="127" w:lineRule="exact"/>
        <w:rPr>
          <w:sz w:val="20"/>
          <w:szCs w:val="20"/>
          <w:color w:val="auto"/>
        </w:rPr>
      </w:pPr>
    </w:p>
    <w:p>
      <w:pPr>
        <w:jc w:val="both"/>
        <w:ind w:left="4"/>
        <w:spacing w:after="0" w:line="258" w:lineRule="auto"/>
        <w:rPr>
          <w:sz w:val="20"/>
          <w:szCs w:val="20"/>
          <w:color w:val="auto"/>
        </w:rPr>
      </w:pPr>
      <w:r>
        <w:rPr>
          <w:rFonts w:ascii="Arial" w:cs="Arial" w:eastAsia="Arial" w:hAnsi="Arial"/>
          <w:sz w:val="16"/>
          <w:szCs w:val="16"/>
          <w:color w:val="auto"/>
        </w:rPr>
        <w:t>If Holdco consummates a liquidation, merger, stock exchange or other similar transaction which results in all of its shareholders having the right to exchange their Holdco Ordinary Shares for cash, securities or other property, then all Sponsor Escrowed Securities and the ECS Escrowed Securities will be released to the SPAC Sponsors and those certain OpCo Shareholders. Any Sponsor Escrowed Securities and the ECS Escrowed Securities not released from escrow within ten years from the date of the closing of the Transaction will be released by the escrow agent to Holdco for cancellation.</w:t>
      </w:r>
    </w:p>
    <w:p>
      <w:pPr>
        <w:spacing w:after="0" w:line="165"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 xml:space="preserve">Shares which are held in escrow are subject to cancellation if certain conditions are not met are recorded as contingent consideration and therefore initially measured at fair value. Further, since they are liability classified instruments, subsequent changes in fair value are recognized in profit and loss within </w:t>
      </w:r>
      <w:r>
        <w:rPr>
          <w:rFonts w:ascii="Arial" w:cs="Arial" w:eastAsia="Arial" w:hAnsi="Arial"/>
          <w:sz w:val="16"/>
          <w:szCs w:val="16"/>
          <w:i w:val="1"/>
          <w:iCs w:val="1"/>
          <w:color w:val="auto"/>
        </w:rPr>
        <w:t>Finance expense</w:t>
      </w:r>
      <w:r>
        <w:rPr>
          <w:rFonts w:ascii="Arial" w:cs="Arial" w:eastAsia="Arial" w:hAnsi="Arial"/>
          <w:sz w:val="16"/>
          <w:szCs w:val="16"/>
          <w:color w:val="auto"/>
        </w:rPr>
        <w:t>. Refer to Note 9. Finance expenses, net.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Note 26.2. Asset acquisition - Pharmaceutical production facility</w:t>
      </w:r>
    </w:p>
    <w:p>
      <w:pPr>
        <w:spacing w:after="0" w:line="198" w:lineRule="exact"/>
        <w:rPr>
          <w:sz w:val="20"/>
          <w:szCs w:val="20"/>
          <w:color w:val="auto"/>
        </w:rPr>
      </w:pPr>
    </w:p>
    <w:p>
      <w:pPr>
        <w:jc w:val="both"/>
        <w:ind w:left="4"/>
        <w:spacing w:after="0" w:line="309" w:lineRule="auto"/>
        <w:rPr>
          <w:sz w:val="20"/>
          <w:szCs w:val="20"/>
          <w:color w:val="auto"/>
        </w:rPr>
      </w:pPr>
      <w:r>
        <w:rPr>
          <w:rFonts w:ascii="Arial" w:cs="Arial" w:eastAsia="Arial" w:hAnsi="Arial"/>
          <w:sz w:val="15"/>
          <w:szCs w:val="15"/>
          <w:color w:val="auto"/>
        </w:rPr>
        <w:t>On November 5, 2021, Procaps Group entered into an asset purchase agreement to acquire an 86,000 sq. ft. pharmaceutical production facility located in West Palm Beach, Florida with production capacity of approximately 1.8 billion capsules per year for its CDMO (integrated Contract and Manufacturing Organization) business unit.</w:t>
      </w:r>
    </w:p>
    <w:p>
      <w:pPr>
        <w:spacing w:after="0" w:line="3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pharmaceutical production facility was purchased from Strides Pharma, Inc., a U.S. subsidiary of the Indian-based pharmaceutical corporation, the Strides Group. The core assets of this acquisition includes several soft gelatin capsule (“Softgel”) encapsulation lines, new critical support systems, automated packaging line capabilities, as well as development facilities including pilot and scale up capabilities. Softgels are designed to deliver high precision dosage by achieving homogeneity of ingredients. The Softgel capsules are well recognized in the supplement, OTC, and the prescription market for improving patient adherence to the drug and therapy by facilitating swallowing due to the texture of its shell.</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purchase price for the purchased assets is $1.6 million, and transaction costs of $213.6. On the Closing Date, December 31, 2021, Procaps will pay the amount corresponding to the 50% of the Purchase Price and the remaining 50% will be paid on December 31, 2023.</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identifiable assets acquired on December 31, 2021, the date of the Transaction, were of $1,813</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following table summarizes the final allocation of the purchase price based on the estimated fair values of the assets acquired and liabilities assumed at the date of acquisition.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02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(Amount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191"/>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10020" w:type="dxa"/>
            <w:vAlign w:val="bottom"/>
          </w:tcPr>
          <w:p>
            <w:pPr>
              <w:spacing w:after="0"/>
              <w:rPr>
                <w:sz w:val="20"/>
                <w:szCs w:val="20"/>
                <w:color w:val="auto"/>
              </w:rPr>
            </w:pPr>
            <w:r>
              <w:rPr>
                <w:rFonts w:ascii="Arial" w:cs="Arial" w:eastAsia="Arial" w:hAnsi="Arial"/>
                <w:sz w:val="16"/>
                <w:szCs w:val="16"/>
                <w:color w:val="auto"/>
              </w:rPr>
              <w:t>Inventories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6"/>
                <w:szCs w:val="16"/>
                <w:color w:val="auto"/>
              </w:rPr>
            </w:pPr>
          </w:p>
        </w:tc>
      </w:tr>
      <w:tr>
        <w:trPr>
          <w:trHeight w:val="191"/>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6"/>
                <w:szCs w:val="16"/>
                <w:color w:val="auto"/>
              </w:rPr>
            </w:pPr>
          </w:p>
        </w:tc>
      </w:tr>
      <w:tr>
        <w:trPr>
          <w:trHeight w:val="191"/>
        </w:trPr>
        <w:tc>
          <w:tcPr>
            <w:tcW w:w="10020" w:type="dxa"/>
            <w:vAlign w:val="bottom"/>
          </w:tcPr>
          <w:p>
            <w:pPr>
              <w:spacing w:after="0"/>
              <w:rPr>
                <w:sz w:val="20"/>
                <w:szCs w:val="20"/>
                <w:color w:val="auto"/>
              </w:rPr>
            </w:pPr>
            <w:r>
              <w:rPr>
                <w:rFonts w:ascii="Arial" w:cs="Arial" w:eastAsia="Arial" w:hAnsi="Arial"/>
                <w:sz w:val="16"/>
                <w:szCs w:val="16"/>
                <w:color w:val="auto"/>
              </w:rPr>
              <w:t>Right of Use Assets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4,533</w:t>
            </w:r>
          </w:p>
        </w:tc>
        <w:tc>
          <w:tcPr>
            <w:tcW w:w="100" w:type="dxa"/>
            <w:vAlign w:val="bottom"/>
          </w:tcPr>
          <w:p>
            <w:pPr>
              <w:spacing w:after="0"/>
              <w:rPr>
                <w:sz w:val="16"/>
                <w:szCs w:val="16"/>
                <w:color w:val="auto"/>
              </w:rPr>
            </w:pPr>
          </w:p>
        </w:tc>
      </w:tr>
      <w:tr>
        <w:trPr>
          <w:trHeight w:val="223"/>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(4,533)</w:t>
            </w:r>
          </w:p>
        </w:tc>
      </w:tr>
      <w:tr>
        <w:trPr>
          <w:trHeight w:val="179"/>
        </w:trPr>
        <w:tc>
          <w:tcPr>
            <w:tcW w:w="1002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w:t>
            </w: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1,813</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27. Financial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27.1 Accounting classification and fair value</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When measuring fair value, the Group uses observable market data whenever possible. Fair values are categorized into different levels in a hierarchy based on the inputs used in the valuation techniques as follows:</w:t>
      </w:r>
    </w:p>
    <w:p>
      <w:pPr>
        <w:spacing w:after="0" w:line="162" w:lineRule="exact"/>
        <w:rPr>
          <w:sz w:val="20"/>
          <w:szCs w:val="20"/>
          <w:color w:val="auto"/>
        </w:rPr>
      </w:pPr>
    </w:p>
    <w:p>
      <w:pPr>
        <w:ind w:left="560" w:hanging="278"/>
        <w:spacing w:after="0"/>
        <w:tabs>
          <w:tab w:leader="none" w:pos="5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Level 1: inputs are unadjusted quoted prices in active markets for identical assets or liabilities.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Level 2: inputs are observable either directly (e.g. as prices) or indirectly (e.g. derived from prices).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Level 3: fair value measurements incorporate significant inputs that are based on unobservable market data.</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96" w:name="page197"/>
    <w:bookmarkEnd w:id="196"/>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auto"/>
        </w:rPr>
        <w:t>The following table shows the carrying amounts of financial assets and financial liabilities. The amortized cost basis of the financial assets and liabilities not measured at fair value approximates their fair value.</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272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As of December 31, 2021</w:t>
            </w:r>
          </w:p>
        </w:tc>
        <w:tc>
          <w:tcPr>
            <w:tcW w:w="2560" w:type="dxa"/>
            <w:vAlign w:val="bottom"/>
            <w:gridSpan w:val="4"/>
          </w:tcPr>
          <w:p>
            <w:pPr>
              <w:ind w:left="380"/>
              <w:spacing w:after="0"/>
              <w:rPr>
                <w:sz w:val="20"/>
                <w:szCs w:val="20"/>
                <w:color w:val="auto"/>
              </w:rPr>
            </w:pPr>
            <w:r>
              <w:rPr>
                <w:rFonts w:ascii="Arial" w:cs="Arial" w:eastAsia="Arial" w:hAnsi="Arial"/>
                <w:sz w:val="16"/>
                <w:szCs w:val="16"/>
                <w:b w:val="1"/>
                <w:bCs w:val="1"/>
                <w:color w:val="auto"/>
              </w:rPr>
              <w:t>As of December 31, 2020</w:t>
            </w:r>
          </w:p>
        </w:tc>
      </w:tr>
      <w:tr>
        <w:trPr>
          <w:trHeight w:val="178"/>
        </w:trPr>
        <w:tc>
          <w:tcPr>
            <w:tcW w:w="598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20"/>
              <w:spacing w:after="0" w:line="178" w:lineRule="exact"/>
              <w:rPr>
                <w:sz w:val="20"/>
                <w:szCs w:val="20"/>
                <w:color w:val="auto"/>
              </w:rPr>
            </w:pPr>
            <w:r>
              <w:rPr>
                <w:rFonts w:ascii="Arial" w:cs="Arial" w:eastAsia="Arial" w:hAnsi="Arial"/>
                <w:sz w:val="16"/>
                <w:szCs w:val="16"/>
                <w:b w:val="1"/>
                <w:bCs w:val="1"/>
                <w:color w:val="auto"/>
              </w:rPr>
              <w:t>Amortized</w:t>
            </w: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20"/>
              <w:spacing w:after="0" w:line="178" w:lineRule="exact"/>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5"/>
                <w:szCs w:val="15"/>
                <w:color w:val="auto"/>
              </w:rPr>
            </w:pPr>
          </w:p>
        </w:tc>
      </w:tr>
      <w:tr>
        <w:trPr>
          <w:trHeight w:val="244"/>
        </w:trPr>
        <w:tc>
          <w:tcPr>
            <w:tcW w:w="5980" w:type="dxa"/>
            <w:vAlign w:val="bottom"/>
          </w:tcPr>
          <w:p>
            <w:pPr>
              <w:spacing w:after="0"/>
              <w:rPr>
                <w:sz w:val="21"/>
                <w:szCs w:val="21"/>
                <w:color w:val="auto"/>
              </w:rPr>
            </w:pPr>
          </w:p>
        </w:tc>
        <w:tc>
          <w:tcPr>
            <w:tcW w:w="1360" w:type="dxa"/>
            <w:vAlign w:val="bottom"/>
            <w:gridSpan w:val="2"/>
          </w:tcPr>
          <w:p>
            <w:pPr>
              <w:jc w:val="right"/>
              <w:ind w:right="500"/>
              <w:spacing w:after="0" w:line="240" w:lineRule="exact"/>
              <w:rPr>
                <w:sz w:val="20"/>
                <w:szCs w:val="20"/>
                <w:color w:val="auto"/>
              </w:rPr>
            </w:pPr>
            <w:r>
              <w:rPr>
                <w:rFonts w:ascii="Arial" w:cs="Arial" w:eastAsia="Arial" w:hAnsi="Arial"/>
                <w:sz w:val="16"/>
                <w:szCs w:val="16"/>
                <w:b w:val="1"/>
                <w:bCs w:val="1"/>
                <w:color w:val="auto"/>
              </w:rPr>
              <w:t>FVTPL</w:t>
            </w:r>
            <w:r>
              <w:rPr>
                <w:rFonts w:ascii="Arial" w:cs="Arial" w:eastAsia="Arial" w:hAnsi="Arial"/>
                <w:sz w:val="26"/>
                <w:szCs w:val="26"/>
                <w:b w:val="1"/>
                <w:bCs w:val="1"/>
                <w:color w:val="auto"/>
                <w:vertAlign w:val="superscript"/>
              </w:rPr>
              <w:t>1</w:t>
            </w:r>
          </w:p>
        </w:tc>
        <w:tc>
          <w:tcPr>
            <w:tcW w:w="1360" w:type="dxa"/>
            <w:vAlign w:val="bottom"/>
            <w:gridSpan w:val="2"/>
          </w:tcPr>
          <w:p>
            <w:pPr>
              <w:jc w:val="right"/>
              <w:ind w:right="620"/>
              <w:spacing w:after="0" w:line="240" w:lineRule="exact"/>
              <w:rPr>
                <w:sz w:val="20"/>
                <w:szCs w:val="20"/>
                <w:color w:val="auto"/>
              </w:rPr>
            </w:pPr>
            <w:r>
              <w:rPr>
                <w:rFonts w:ascii="Arial" w:cs="Arial" w:eastAsia="Arial" w:hAnsi="Arial"/>
                <w:sz w:val="16"/>
                <w:szCs w:val="16"/>
                <w:b w:val="1"/>
                <w:bCs w:val="1"/>
                <w:color w:val="auto"/>
              </w:rPr>
              <w:t>cost</w:t>
            </w:r>
            <w:r>
              <w:rPr>
                <w:rFonts w:ascii="Arial" w:cs="Arial" w:eastAsia="Arial" w:hAnsi="Arial"/>
                <w:sz w:val="26"/>
                <w:szCs w:val="26"/>
                <w:b w:val="1"/>
                <w:bCs w:val="1"/>
                <w:color w:val="auto"/>
                <w:vertAlign w:val="superscript"/>
              </w:rPr>
              <w:t>2</w:t>
            </w:r>
          </w:p>
        </w:tc>
        <w:tc>
          <w:tcPr>
            <w:tcW w:w="1340" w:type="dxa"/>
            <w:vAlign w:val="bottom"/>
            <w:gridSpan w:val="2"/>
          </w:tcPr>
          <w:p>
            <w:pPr>
              <w:ind w:left="300"/>
              <w:spacing w:after="0"/>
              <w:rPr>
                <w:sz w:val="20"/>
                <w:szCs w:val="20"/>
                <w:color w:val="auto"/>
              </w:rPr>
            </w:pPr>
            <w:r>
              <w:rPr>
                <w:rFonts w:ascii="Arial" w:cs="Arial" w:eastAsia="Arial" w:hAnsi="Arial"/>
                <w:sz w:val="16"/>
                <w:szCs w:val="16"/>
                <w:b w:val="1"/>
                <w:bCs w:val="1"/>
                <w:color w:val="auto"/>
              </w:rPr>
              <w:t>FVTPL</w:t>
            </w:r>
          </w:p>
        </w:tc>
        <w:tc>
          <w:tcPr>
            <w:tcW w:w="1220" w:type="dxa"/>
            <w:vAlign w:val="bottom"/>
            <w:gridSpan w:val="2"/>
          </w:tcPr>
          <w:p>
            <w:pPr>
              <w:jc w:val="right"/>
              <w:ind w:right="500"/>
              <w:spacing w:after="0" w:line="240" w:lineRule="exact"/>
              <w:rPr>
                <w:sz w:val="20"/>
                <w:szCs w:val="20"/>
                <w:color w:val="auto"/>
              </w:rPr>
            </w:pPr>
            <w:r>
              <w:rPr>
                <w:rFonts w:ascii="Arial" w:cs="Arial" w:eastAsia="Arial" w:hAnsi="Arial"/>
                <w:sz w:val="16"/>
                <w:szCs w:val="16"/>
                <w:b w:val="1"/>
                <w:bCs w:val="1"/>
                <w:color w:val="auto"/>
              </w:rPr>
              <w:t>cost</w:t>
            </w:r>
            <w:r>
              <w:rPr>
                <w:rFonts w:ascii="Arial" w:cs="Arial" w:eastAsia="Arial" w:hAnsi="Arial"/>
                <w:sz w:val="26"/>
                <w:szCs w:val="26"/>
                <w:b w:val="1"/>
                <w:bCs w:val="1"/>
                <w:color w:val="auto"/>
                <w:vertAlign w:val="superscript"/>
              </w:rPr>
              <w:t>2</w:t>
            </w:r>
          </w:p>
        </w:tc>
      </w:tr>
      <w:tr>
        <w:trPr>
          <w:trHeight w:val="191"/>
        </w:trPr>
        <w:tc>
          <w:tcPr>
            <w:tcW w:w="5980" w:type="dxa"/>
            <w:vAlign w:val="bottom"/>
          </w:tcPr>
          <w:p>
            <w:pPr>
              <w:spacing w:after="0"/>
              <w:rPr>
                <w:sz w:val="20"/>
                <w:szCs w:val="20"/>
                <w:color w:val="auto"/>
              </w:rPr>
            </w:pPr>
            <w:r>
              <w:rPr>
                <w:rFonts w:ascii="Arial" w:cs="Arial" w:eastAsia="Arial" w:hAnsi="Arial"/>
                <w:sz w:val="16"/>
                <w:szCs w:val="16"/>
                <w:b w:val="1"/>
                <w:bCs w:val="1"/>
                <w:color w:val="auto"/>
              </w:rPr>
              <w:t>Financial assets not measured at fair value</w:t>
            </w:r>
          </w:p>
        </w:tc>
        <w:tc>
          <w:tcPr>
            <w:tcW w:w="11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receivables, net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117,449</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96,493</w:t>
            </w: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Amounts owed by related parties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2,562</w:t>
            </w: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72,112</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4,229</w:t>
            </w: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Other financial assets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256</w:t>
            </w:r>
          </w:p>
        </w:tc>
        <w:tc>
          <w:tcPr>
            <w:tcW w:w="134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761</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financial assets not measured at fair value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189,817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6"/>
                <w:szCs w:val="16"/>
                <w:b w:val="1"/>
                <w:bCs w:val="1"/>
                <w:color w:val="auto"/>
                <w:w w:val="87"/>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104,045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liabilities measured at fair value</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Warrant liabilities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23,112</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Shares held in escrow</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101,859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9"/>
        </w:trPr>
        <w:tc>
          <w:tcPr>
            <w:tcW w:w="598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 financial liabilities measured at fair value</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124,971</w:t>
            </w:r>
          </w:p>
        </w:tc>
        <w:tc>
          <w:tcPr>
            <w:tcW w:w="24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ind w:left="960"/>
              <w:spacing w:after="0" w:line="175" w:lineRule="exact"/>
              <w:rPr>
                <w:sz w:val="20"/>
                <w:szCs w:val="20"/>
                <w:color w:val="auto"/>
              </w:rPr>
            </w:pPr>
            <w:r>
              <w:rPr>
                <w:rFonts w:ascii="Arial" w:cs="Arial" w:eastAsia="Arial" w:hAnsi="Arial"/>
                <w:sz w:val="16"/>
                <w:szCs w:val="16"/>
                <w:b w:val="1"/>
                <w:bCs w:val="1"/>
                <w:color w:val="auto"/>
                <w:w w:val="87"/>
              </w:rPr>
              <w:t>—</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bottom w:val="single" w:sz="8" w:color="CCEEFF"/>
            </w:tcBorders>
          </w:tcPr>
          <w:p>
            <w:pPr>
              <w:spacing w:after="0"/>
              <w:rPr>
                <w:sz w:val="15"/>
                <w:szCs w:val="15"/>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liabilities not measured at fair value</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Borrowings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253,365</w:t>
            </w:r>
          </w:p>
        </w:tc>
        <w:tc>
          <w:tcPr>
            <w:tcW w:w="220" w:type="dxa"/>
            <w:vAlign w:val="bottom"/>
          </w:tcPr>
          <w:p>
            <w:pPr>
              <w:spacing w:after="0"/>
              <w:rPr>
                <w:sz w:val="16"/>
                <w:szCs w:val="16"/>
                <w:color w:val="auto"/>
              </w:rPr>
            </w:pPr>
          </w:p>
        </w:tc>
        <w:tc>
          <w:tcPr>
            <w:tcW w:w="134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442,359</w:t>
            </w: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payables, net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85,381</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106,275</w:t>
            </w: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Amounts owed to related parties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8,450</w:t>
            </w:r>
          </w:p>
        </w:tc>
        <w:tc>
          <w:tcPr>
            <w:tcW w:w="220" w:type="dxa"/>
            <w:vAlign w:val="bottom"/>
          </w:tcPr>
          <w:p>
            <w:pPr>
              <w:spacing w:after="0"/>
              <w:rPr>
                <w:sz w:val="18"/>
                <w:szCs w:val="18"/>
                <w:color w:val="auto"/>
              </w:rPr>
            </w:pPr>
          </w:p>
        </w:tc>
        <w:tc>
          <w:tcPr>
            <w:tcW w:w="134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20,622</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financial liabilities not measured at fair value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347,196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6"/>
                <w:szCs w:val="16"/>
                <w:b w:val="1"/>
                <w:bCs w:val="1"/>
                <w:color w:val="auto"/>
                <w:w w:val="87"/>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569,256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72" w:lineRule="exact"/>
        <w:rPr>
          <w:sz w:val="20"/>
          <w:szCs w:val="20"/>
          <w:color w:val="auto"/>
        </w:rPr>
      </w:pPr>
    </w:p>
    <w:p>
      <w:pPr>
        <w:ind w:left="284" w:hanging="284"/>
        <w:spacing w:after="0"/>
        <w:tabs>
          <w:tab w:leader="none" w:pos="284" w:val="left"/>
        </w:tabs>
        <w:numPr>
          <w:ilvl w:val="0"/>
          <w:numId w:val="116"/>
        </w:numPr>
        <w:rPr>
          <w:rFonts w:ascii="Arial" w:cs="Arial" w:eastAsia="Arial" w:hAnsi="Arial"/>
          <w:sz w:val="27"/>
          <w:szCs w:val="27"/>
          <w:color w:val="auto"/>
          <w:vertAlign w:val="superscript"/>
        </w:rPr>
      </w:pPr>
      <w:r>
        <w:rPr>
          <w:rFonts w:ascii="Arial" w:cs="Arial" w:eastAsia="Arial" w:hAnsi="Arial"/>
          <w:sz w:val="16"/>
          <w:szCs w:val="16"/>
          <w:color w:val="auto"/>
        </w:rPr>
        <w:t>The fair value is comprised of $16,000 level 1 and $108,971 level 3 as of December 31, 2021.</w:t>
      </w:r>
    </w:p>
    <w:p>
      <w:pPr>
        <w:ind w:left="284" w:hanging="284"/>
        <w:spacing w:after="0" w:line="181" w:lineRule="auto"/>
        <w:tabs>
          <w:tab w:leader="none" w:pos="284" w:val="left"/>
        </w:tabs>
        <w:numPr>
          <w:ilvl w:val="0"/>
          <w:numId w:val="117"/>
        </w:numPr>
        <w:rPr>
          <w:rFonts w:ascii="Arial" w:cs="Arial" w:eastAsia="Arial" w:hAnsi="Arial"/>
          <w:sz w:val="22"/>
          <w:szCs w:val="22"/>
          <w:color w:val="auto"/>
          <w:vertAlign w:val="superscript"/>
        </w:rPr>
      </w:pPr>
      <w:r>
        <w:rPr>
          <w:rFonts w:ascii="Arial" w:cs="Arial" w:eastAsia="Arial" w:hAnsi="Arial"/>
          <w:sz w:val="14"/>
          <w:szCs w:val="14"/>
          <w:color w:val="auto"/>
        </w:rPr>
        <w:t>The fair value is similar to their amortized cost as of December 31, 2021 and 2020, respectively.</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27.2 Measurement of fair values</w:t>
      </w:r>
    </w:p>
    <w:p>
      <w:pPr>
        <w:spacing w:after="0" w:line="198"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auto"/>
        </w:rPr>
        <w:t>The following tables show the valuation techniques used in measuring Level 3 fair values for financial instruments in the statement of financial position, as well as the significant unobservable inputs used.</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tcPr>
          <w:p>
            <w:pPr>
              <w:jc w:val="center"/>
              <w:spacing w:after="0"/>
              <w:rPr>
                <w:sz w:val="20"/>
                <w:szCs w:val="20"/>
                <w:color w:val="auto"/>
              </w:rPr>
            </w:pPr>
            <w:r>
              <w:rPr>
                <w:rFonts w:ascii="Arial" w:cs="Arial" w:eastAsia="Arial" w:hAnsi="Arial"/>
                <w:sz w:val="16"/>
                <w:szCs w:val="16"/>
                <w:b w:val="1"/>
                <w:bCs w:val="1"/>
                <w:color w:val="auto"/>
                <w:w w:val="90"/>
              </w:rPr>
              <w:t>Inter-relationship between</w:t>
            </w:r>
          </w:p>
        </w:tc>
      </w:tr>
      <w:tr>
        <w:trPr>
          <w:trHeight w:val="191"/>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Significant</w:t>
            </w:r>
          </w:p>
        </w:tc>
        <w:tc>
          <w:tcPr>
            <w:tcW w:w="3380" w:type="dxa"/>
            <w:vAlign w:val="bottom"/>
          </w:tcPr>
          <w:p>
            <w:pPr>
              <w:jc w:val="center"/>
              <w:spacing w:after="0"/>
              <w:rPr>
                <w:sz w:val="20"/>
                <w:szCs w:val="20"/>
                <w:color w:val="auto"/>
              </w:rPr>
            </w:pPr>
            <w:r>
              <w:rPr>
                <w:rFonts w:ascii="Arial" w:cs="Arial" w:eastAsia="Arial" w:hAnsi="Arial"/>
                <w:sz w:val="16"/>
                <w:szCs w:val="16"/>
                <w:b w:val="1"/>
                <w:bCs w:val="1"/>
                <w:color w:val="auto"/>
                <w:w w:val="88"/>
              </w:rPr>
              <w:t>significant unobservable</w:t>
            </w:r>
          </w:p>
        </w:tc>
      </w:tr>
      <w:tr>
        <w:trPr>
          <w:trHeight w:val="191"/>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unobservable</w:t>
            </w:r>
          </w:p>
        </w:tc>
        <w:tc>
          <w:tcPr>
            <w:tcW w:w="3380" w:type="dxa"/>
            <w:vAlign w:val="bottom"/>
          </w:tcPr>
          <w:p>
            <w:pPr>
              <w:ind w:left="1000"/>
              <w:spacing w:after="0"/>
              <w:rPr>
                <w:sz w:val="20"/>
                <w:szCs w:val="20"/>
                <w:color w:val="auto"/>
              </w:rPr>
            </w:pPr>
            <w:r>
              <w:rPr>
                <w:rFonts w:ascii="Arial" w:cs="Arial" w:eastAsia="Arial" w:hAnsi="Arial"/>
                <w:sz w:val="16"/>
                <w:szCs w:val="16"/>
                <w:b w:val="1"/>
                <w:bCs w:val="1"/>
                <w:color w:val="auto"/>
              </w:rPr>
              <w:t>input and fair value</w:t>
            </w:r>
          </w:p>
        </w:tc>
      </w:tr>
      <w:tr>
        <w:trPr>
          <w:trHeight w:val="212"/>
        </w:trPr>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Type</w:t>
            </w:r>
          </w:p>
        </w:tc>
        <w:tc>
          <w:tcPr>
            <w:tcW w:w="4280" w:type="dxa"/>
            <w:vAlign w:val="bottom"/>
            <w:gridSpan w:val="2"/>
          </w:tcPr>
          <w:p>
            <w:pPr>
              <w:ind w:left="1380"/>
              <w:spacing w:after="0"/>
              <w:rPr>
                <w:sz w:val="20"/>
                <w:szCs w:val="20"/>
                <w:color w:val="auto"/>
              </w:rPr>
            </w:pPr>
            <w:r>
              <w:rPr>
                <w:rFonts w:ascii="Arial" w:cs="Arial" w:eastAsia="Arial" w:hAnsi="Arial"/>
                <w:sz w:val="16"/>
                <w:szCs w:val="16"/>
                <w:b w:val="1"/>
                <w:bCs w:val="1"/>
                <w:color w:val="auto"/>
              </w:rPr>
              <w:t>Valuation Technique</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input</w:t>
            </w:r>
          </w:p>
        </w:tc>
        <w:tc>
          <w:tcPr>
            <w:tcW w:w="3380" w:type="dxa"/>
            <w:vAlign w:val="bottom"/>
          </w:tcPr>
          <w:p>
            <w:pPr>
              <w:jc w:val="center"/>
              <w:spacing w:after="0"/>
              <w:rPr>
                <w:sz w:val="20"/>
                <w:szCs w:val="20"/>
                <w:color w:val="auto"/>
              </w:rPr>
            </w:pPr>
            <w:r>
              <w:rPr>
                <w:rFonts w:ascii="Arial" w:cs="Arial" w:eastAsia="Arial" w:hAnsi="Arial"/>
                <w:sz w:val="16"/>
                <w:szCs w:val="16"/>
                <w:b w:val="1"/>
                <w:bCs w:val="1"/>
                <w:color w:val="auto"/>
                <w:w w:val="88"/>
              </w:rPr>
              <w:t>measurement</w:t>
            </w:r>
          </w:p>
        </w:tc>
      </w:tr>
      <w:tr>
        <w:trPr>
          <w:trHeight w:val="179"/>
        </w:trPr>
        <w:tc>
          <w:tcPr>
            <w:tcW w:w="170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86"/>
              </w:rPr>
              <w:t>Warrants</w:t>
            </w:r>
          </w:p>
        </w:tc>
        <w:tc>
          <w:tcPr>
            <w:tcW w:w="120" w:type="dxa"/>
            <w:vAlign w:val="bottom"/>
            <w:tcBorders>
              <w:top w:val="single" w:sz="8" w:color="CCEEFF"/>
            </w:tcBorders>
            <w:shd w:val="clear" w:color="auto" w:fill="CCEEFF"/>
          </w:tcPr>
          <w:p>
            <w:pPr>
              <w:spacing w:after="0"/>
              <w:rPr>
                <w:sz w:val="15"/>
                <w:szCs w:val="15"/>
                <w:color w:val="auto"/>
              </w:rPr>
            </w:pPr>
          </w:p>
        </w:tc>
        <w:tc>
          <w:tcPr>
            <w:tcW w:w="416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w w:val="97"/>
              </w:rPr>
              <w:t>The fair value of the Private Warrants is estimated using the</w:t>
            </w:r>
          </w:p>
        </w:tc>
        <w:tc>
          <w:tcPr>
            <w:tcW w:w="1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97"/>
              </w:rPr>
              <w:t>Volatility</w:t>
            </w:r>
          </w:p>
        </w:tc>
        <w:tc>
          <w:tcPr>
            <w:tcW w:w="100" w:type="dxa"/>
            <w:vAlign w:val="bottom"/>
            <w:tcBorders>
              <w:top w:val="single" w:sz="8" w:color="CCEEFF"/>
            </w:tcBorders>
            <w:shd w:val="clear" w:color="auto" w:fill="CCEEFF"/>
          </w:tcPr>
          <w:p>
            <w:pPr>
              <w:spacing w:after="0"/>
              <w:rPr>
                <w:sz w:val="15"/>
                <w:szCs w:val="15"/>
                <w:color w:val="auto"/>
              </w:rPr>
            </w:pPr>
          </w:p>
        </w:tc>
        <w:tc>
          <w:tcPr>
            <w:tcW w:w="338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93"/>
              </w:rPr>
              <w:t>The estimated fair value would increase (decrease)</w:t>
            </w:r>
          </w:p>
        </w:tc>
      </w:tr>
      <w:tr>
        <w:trPr>
          <w:trHeight w:val="191"/>
        </w:trPr>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Black-Scholes option pricing formula for European calls, since</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if the expected volatility were higher (lower).</w:t>
            </w:r>
          </w:p>
        </w:tc>
      </w:tr>
      <w:tr>
        <w:trPr>
          <w:trHeight w:val="191"/>
        </w:trPr>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the underlying stock is not expected to pay dividends over the</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r>
      <w:tr>
        <w:trPr>
          <w:trHeight w:val="204"/>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term of the Warrants.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r>
      <w:tr>
        <w:trPr>
          <w:trHeight w:val="179"/>
        </w:trPr>
        <w:tc>
          <w:tcPr>
            <w:tcW w:w="182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8"/>
              </w:rPr>
              <w:t>Shares held in escrow</w:t>
            </w:r>
          </w:p>
        </w:tc>
        <w:tc>
          <w:tcPr>
            <w:tcW w:w="4280" w:type="dxa"/>
            <w:vAlign w:val="bottom"/>
            <w:gridSpan w:val="2"/>
          </w:tcPr>
          <w:p>
            <w:pPr>
              <w:spacing w:after="0" w:line="179" w:lineRule="exact"/>
              <w:rPr>
                <w:sz w:val="20"/>
                <w:szCs w:val="20"/>
                <w:color w:val="auto"/>
              </w:rPr>
            </w:pPr>
            <w:r>
              <w:rPr>
                <w:rFonts w:ascii="Arial" w:cs="Arial" w:eastAsia="Arial" w:hAnsi="Arial"/>
                <w:sz w:val="16"/>
                <w:szCs w:val="16"/>
                <w:color w:val="auto"/>
                <w:w w:val="97"/>
              </w:rPr>
              <w:t>The fair value of the shares to be delivered is estimated using</w:t>
            </w:r>
          </w:p>
        </w:tc>
        <w:tc>
          <w:tcPr>
            <w:tcW w:w="1780" w:type="dxa"/>
            <w:vAlign w:val="bottom"/>
            <w:gridSpan w:val="2"/>
          </w:tcPr>
          <w:p>
            <w:pPr>
              <w:jc w:val="center"/>
              <w:ind w:right="120"/>
              <w:spacing w:after="0" w:line="179" w:lineRule="exact"/>
              <w:rPr>
                <w:sz w:val="20"/>
                <w:szCs w:val="20"/>
                <w:color w:val="auto"/>
              </w:rPr>
            </w:pPr>
            <w:r>
              <w:rPr>
                <w:rFonts w:ascii="Arial" w:cs="Arial" w:eastAsia="Arial" w:hAnsi="Arial"/>
                <w:sz w:val="16"/>
                <w:szCs w:val="16"/>
                <w:color w:val="auto"/>
                <w:w w:val="97"/>
              </w:rPr>
              <w:t>Volatility</w:t>
            </w:r>
          </w:p>
        </w:tc>
        <w:tc>
          <w:tcPr>
            <w:tcW w:w="3380" w:type="dxa"/>
            <w:vAlign w:val="bottom"/>
          </w:tcPr>
          <w:p>
            <w:pPr>
              <w:jc w:val="center"/>
              <w:spacing w:after="0" w:line="179" w:lineRule="exact"/>
              <w:rPr>
                <w:sz w:val="20"/>
                <w:szCs w:val="20"/>
                <w:color w:val="auto"/>
              </w:rPr>
            </w:pPr>
            <w:r>
              <w:rPr>
                <w:rFonts w:ascii="Arial" w:cs="Arial" w:eastAsia="Arial" w:hAnsi="Arial"/>
                <w:sz w:val="16"/>
                <w:szCs w:val="16"/>
                <w:color w:val="auto"/>
                <w:w w:val="93"/>
              </w:rPr>
              <w:t>The estimated fair value would increase (decrease)</w:t>
            </w:r>
          </w:p>
        </w:tc>
      </w:tr>
      <w:tr>
        <w:trPr>
          <w:trHeight w:val="191"/>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w w:val="96"/>
              </w:rPr>
              <w:t>Monte Carlo simulation in a risk-neutral framework assuming a</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if the expected volatility were higher (lower).</w:t>
            </w:r>
          </w:p>
        </w:tc>
      </w:tr>
      <w:tr>
        <w:trPr>
          <w:trHeight w:val="204"/>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Geometric Brownian Motion for the future stock price.</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577"/>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ind w:left="3660"/>
              <w:spacing w:after="0"/>
              <w:rPr>
                <w:sz w:val="20"/>
                <w:szCs w:val="20"/>
                <w:color w:val="auto"/>
              </w:rPr>
            </w:pPr>
            <w:r>
              <w:rPr>
                <w:rFonts w:ascii="Arial" w:cs="Arial" w:eastAsia="Arial" w:hAnsi="Arial"/>
                <w:sz w:val="16"/>
                <w:szCs w:val="16"/>
                <w:color w:val="auto"/>
              </w:rPr>
              <w:t>F-72</w:t>
            </w: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792" w:right="31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27.3 Financial risk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Group has exposure to the following risks arising from financial instruments:</w:t>
      </w:r>
    </w:p>
    <w:p>
      <w:pPr>
        <w:spacing w:after="0" w:line="198" w:lineRule="exact"/>
        <w:rPr>
          <w:sz w:val="20"/>
          <w:szCs w:val="20"/>
          <w:color w:val="auto"/>
        </w:rPr>
      </w:pPr>
    </w:p>
    <w:p>
      <w:pPr>
        <w:ind w:left="560" w:hanging="278"/>
        <w:spacing w:after="0"/>
        <w:tabs>
          <w:tab w:leader="none" w:pos="5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Credit risk</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Liquidity risk</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Market risk, including: currency and interest rate risk</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27.3.1. Risk management framework</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 analyzes each of these risks individually as well as on a combined basis and defines strategies to manage the economic impact on the Group’s performance in line with its financial risk management policy. The Group does not subscribe or negotiate hedging instruments.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Group’s Financial Administrative Unit (“UAC”) supports, monitors and manages financial risks through internal reports, which are analyzed individually in each country depending on the degree and magnitude of the risks thereof. The financial UAC periodically reports to the shareholders the conclusions of such risk monitoring and proposes the plans and policies necessary to mitigate exposures.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27.3.2. Credit risk</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Credit risk refers to the risk that one of the parties fails to comply with its contractual obligations, resulting in a financial loss for the Group. As a corporate policy, the Group conducts business only with strong financial institutions and credit institutions with renowned national and international prestige. For banks, only independently rated parties with a minimum rating of ‘A’ are accepted.</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Group only makes transactions with financial entities that have risk certifications and/or that are monitored by the relevant authorities in each country. The information provided by rating agencies is consistently monitored and, if not available, the Group uses other available financial information and its own business records to qualify its main customers and finance providers. Before accepting any new customer, the Group uses a rating system to assess the credit quality of the potential customer and defines the credit limits for each customer. Limits and ratings attributed to customers are reviewed twice a year. Trade accounts receivable that are not past due or impaired have the best credit rating according to the credit rating system used by the Group.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Exposure to credit risk</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carrying amount of financial assets represents the maximum credit exposure of the Group. The carrying amount is presented net of impairment losses. None of the receivable balances as of December 31, 2021 or 2020 constitutes a significant concentration of credit risk. There are no other single customers representing more than 10% of total gross trade receivables for the years ended December 31, 2021 and 2020.</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Expected credit losses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average credit period on the sale of medicines is 60 to 120 days. In some cases, depending on market conditions and strategy, longer payment periods are granted. No interest surcharge is made on commercial accounts receivable. Refer to Note 3.4. Financial Instruments for further information on financial instruments significant accounting policies.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Group has recognized a provision for doubtful accounts. The Group evaluates the impairment of its accounts receivable for the expected credit loss model, where it determines its value based on the probability of default, the loss due to default (i.e., the extent of the loss in case of default) and the exposure, by the application of the ’simplified method’ for trade receivables without a significant financing component. The assessment of the probability of default and the loss due to default is mainly based on historical data and adjust historical loss rates to reflect information about current conditions and reasonable and supportable forecasts of future economic conditions.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Current</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31-60</w:t>
            </w:r>
          </w:p>
        </w:tc>
        <w:tc>
          <w:tcPr>
            <w:tcW w:w="2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7"/>
              </w:rPr>
              <w:t>61-90</w:t>
            </w:r>
          </w:p>
        </w:tc>
        <w:tc>
          <w:tcPr>
            <w:tcW w:w="2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8"/>
              </w:rPr>
              <w:t>91-120</w:t>
            </w:r>
          </w:p>
        </w:tc>
        <w:tc>
          <w:tcPr>
            <w:tcW w:w="2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More than</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(not past</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1-30 days</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days past</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days past</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days past</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120 days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2"/>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due)</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past due</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past due</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gridSpan w:val="2"/>
          </w:tcPr>
          <w:p>
            <w:pPr>
              <w:spacing w:after="0"/>
              <w:rPr>
                <w:sz w:val="18"/>
                <w:szCs w:val="18"/>
                <w:color w:val="auto"/>
              </w:rPr>
            </w:pPr>
          </w:p>
        </w:tc>
      </w:tr>
      <w:tr>
        <w:trPr>
          <w:trHeight w:val="191"/>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loss rate</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67.43%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14.67%</w:t>
            </w:r>
          </w:p>
        </w:tc>
      </w:tr>
      <w:tr>
        <w:trPr>
          <w:trHeight w:val="191"/>
        </w:trPr>
        <w:tc>
          <w:tcPr>
            <w:tcW w:w="3420" w:type="dxa"/>
            <w:vAlign w:val="bottom"/>
            <w:gridSpan w:val="2"/>
          </w:tcPr>
          <w:p>
            <w:pPr>
              <w:spacing w:after="0"/>
              <w:rPr>
                <w:sz w:val="20"/>
                <w:szCs w:val="20"/>
                <w:color w:val="auto"/>
              </w:rPr>
            </w:pPr>
            <w:r>
              <w:rPr>
                <w:rFonts w:ascii="Arial" w:cs="Arial" w:eastAsia="Arial" w:hAnsi="Arial"/>
                <w:sz w:val="16"/>
                <w:szCs w:val="16"/>
                <w:color w:val="auto"/>
              </w:rPr>
              <w:t>Gross carrying amount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98,776</w:t>
            </w:r>
          </w:p>
        </w:tc>
        <w:tc>
          <w:tcPr>
            <w:tcW w:w="900" w:type="dxa"/>
            <w:vAlign w:val="bottom"/>
          </w:tcPr>
          <w:p>
            <w:pPr>
              <w:jc w:val="right"/>
              <w:spacing w:after="0"/>
              <w:rPr>
                <w:sz w:val="20"/>
                <w:szCs w:val="20"/>
                <w:color w:val="auto"/>
              </w:rPr>
            </w:pPr>
            <w:r>
              <w:rPr>
                <w:rFonts w:ascii="Arial" w:cs="Arial" w:eastAsia="Arial" w:hAnsi="Arial"/>
                <w:sz w:val="16"/>
                <w:szCs w:val="16"/>
                <w:color w:val="auto"/>
              </w:rPr>
              <w:t>11,265</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3,147</w:t>
            </w:r>
          </w:p>
        </w:tc>
        <w:tc>
          <w:tcPr>
            <w:tcW w:w="26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1,981</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1,843</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30,578</w:t>
            </w:r>
          </w:p>
        </w:tc>
        <w:tc>
          <w:tcPr>
            <w:tcW w:w="880" w:type="dxa"/>
            <w:vAlign w:val="bottom"/>
          </w:tcPr>
          <w:p>
            <w:pPr>
              <w:jc w:val="right"/>
              <w:spacing w:after="0"/>
              <w:rPr>
                <w:sz w:val="20"/>
                <w:szCs w:val="20"/>
                <w:color w:val="auto"/>
              </w:rPr>
            </w:pPr>
            <w:r>
              <w:rPr>
                <w:rFonts w:ascii="Arial" w:cs="Arial" w:eastAsia="Arial" w:hAnsi="Arial"/>
                <w:sz w:val="16"/>
                <w:szCs w:val="16"/>
                <w:color w:val="auto"/>
              </w:rPr>
              <w:t>147,590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loss allowance</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(591)</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(238)</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(74)</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(67)</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(20,620)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(21,650)</w:t>
            </w:r>
          </w:p>
        </w:tc>
      </w:tr>
      <w:tr>
        <w:trPr>
          <w:trHeight w:val="179"/>
        </w:trPr>
        <w:tc>
          <w:tcPr>
            <w:tcW w:w="33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98,185</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11,027</w:t>
            </w: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3,073</w:t>
            </w: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1,914</w:t>
            </w: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1,783</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9,958</w:t>
            </w: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125,940</w:t>
            </w: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r>
      <w:tr>
        <w:trPr>
          <w:trHeight w:val="366"/>
        </w:trPr>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Current</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31-60</w:t>
            </w:r>
          </w:p>
        </w:tc>
        <w:tc>
          <w:tcPr>
            <w:tcW w:w="2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7"/>
              </w:rPr>
              <w:t>61-90</w:t>
            </w:r>
          </w:p>
        </w:tc>
        <w:tc>
          <w:tcPr>
            <w:tcW w:w="2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8"/>
              </w:rPr>
              <w:t>91-120</w:t>
            </w:r>
          </w:p>
        </w:tc>
        <w:tc>
          <w:tcPr>
            <w:tcW w:w="24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More than</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1"/>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(not past</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1-30 days</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days past</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days past</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days past</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120 days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2"/>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due)</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past due</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past due</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gridSpan w:val="2"/>
          </w:tcPr>
          <w:p>
            <w:pPr>
              <w:spacing w:after="0"/>
              <w:rPr>
                <w:sz w:val="18"/>
                <w:szCs w:val="18"/>
                <w:color w:val="auto"/>
              </w:rPr>
            </w:pPr>
          </w:p>
        </w:tc>
      </w:tr>
      <w:tr>
        <w:trPr>
          <w:trHeight w:val="191"/>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loss rate</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0.53%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14.78%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59.77%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9.60%</w:t>
            </w:r>
          </w:p>
        </w:tc>
      </w:tr>
      <w:tr>
        <w:trPr>
          <w:trHeight w:val="191"/>
        </w:trPr>
        <w:tc>
          <w:tcPr>
            <w:tcW w:w="3420" w:type="dxa"/>
            <w:vAlign w:val="bottom"/>
            <w:gridSpan w:val="2"/>
          </w:tcPr>
          <w:p>
            <w:pPr>
              <w:spacing w:after="0"/>
              <w:rPr>
                <w:sz w:val="20"/>
                <w:szCs w:val="20"/>
                <w:color w:val="auto"/>
              </w:rPr>
            </w:pPr>
            <w:r>
              <w:rPr>
                <w:rFonts w:ascii="Arial" w:cs="Arial" w:eastAsia="Arial" w:hAnsi="Arial"/>
                <w:sz w:val="16"/>
                <w:szCs w:val="16"/>
                <w:color w:val="auto"/>
              </w:rPr>
              <w:t>Gross carrying amount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74,639</w:t>
            </w:r>
          </w:p>
        </w:tc>
        <w:tc>
          <w:tcPr>
            <w:tcW w:w="900" w:type="dxa"/>
            <w:vAlign w:val="bottom"/>
          </w:tcPr>
          <w:p>
            <w:pPr>
              <w:jc w:val="right"/>
              <w:spacing w:after="0"/>
              <w:rPr>
                <w:sz w:val="20"/>
                <w:szCs w:val="20"/>
                <w:color w:val="auto"/>
              </w:rPr>
            </w:pPr>
            <w:r>
              <w:rPr>
                <w:rFonts w:ascii="Arial" w:cs="Arial" w:eastAsia="Arial" w:hAnsi="Arial"/>
                <w:sz w:val="16"/>
                <w:szCs w:val="16"/>
                <w:color w:val="auto"/>
              </w:rPr>
              <w:t>5,216</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2,958</w:t>
            </w:r>
          </w:p>
        </w:tc>
        <w:tc>
          <w:tcPr>
            <w:tcW w:w="26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1,754</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406</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14,724</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99,697</w:t>
            </w:r>
          </w:p>
        </w:tc>
        <w:tc>
          <w:tcPr>
            <w:tcW w:w="140" w:type="dxa"/>
            <w:vAlign w:val="bottom"/>
          </w:tcPr>
          <w:p>
            <w:pPr>
              <w:spacing w:after="0"/>
              <w:rPr>
                <w:sz w:val="16"/>
                <w:szCs w:val="16"/>
                <w:color w:val="auto"/>
              </w:rPr>
            </w:pPr>
          </w:p>
        </w:tc>
      </w:tr>
      <w:tr>
        <w:trPr>
          <w:trHeight w:val="223"/>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loss allowance</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(393)</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(135)</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(83)</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(102)</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(8,800)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(9,573)</w:t>
            </w:r>
          </w:p>
        </w:tc>
      </w:tr>
      <w:tr>
        <w:trPr>
          <w:trHeight w:val="179"/>
        </w:trPr>
        <w:tc>
          <w:tcPr>
            <w:tcW w:w="33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74,246</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5,081</w:t>
            </w: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2,875</w:t>
            </w: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1,652</w:t>
            </w: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346</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5,924</w:t>
            </w: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90,124</w:t>
            </w: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r>
      <w:tr>
        <w:trPr>
          <w:trHeight w:val="366"/>
        </w:trPr>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Current</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31-60</w:t>
            </w:r>
          </w:p>
        </w:tc>
        <w:tc>
          <w:tcPr>
            <w:tcW w:w="2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7"/>
              </w:rPr>
              <w:t>61-90</w:t>
            </w:r>
          </w:p>
        </w:tc>
        <w:tc>
          <w:tcPr>
            <w:tcW w:w="2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8"/>
              </w:rPr>
              <w:t>91-120</w:t>
            </w:r>
          </w:p>
        </w:tc>
        <w:tc>
          <w:tcPr>
            <w:tcW w:w="24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More than</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1"/>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(not past</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1-30 days</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days past</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days past</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days past</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120 days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2"/>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due)</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past due</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past due</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gridSpan w:val="2"/>
          </w:tcPr>
          <w:p>
            <w:pPr>
              <w:spacing w:after="0"/>
              <w:rPr>
                <w:sz w:val="18"/>
                <w:szCs w:val="18"/>
                <w:color w:val="auto"/>
              </w:rPr>
            </w:pPr>
          </w:p>
        </w:tc>
      </w:tr>
      <w:tr>
        <w:trPr>
          <w:trHeight w:val="191"/>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loss rate</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80.12%</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10.99%</w:t>
            </w:r>
          </w:p>
        </w:tc>
      </w:tr>
      <w:tr>
        <w:trPr>
          <w:trHeight w:val="191"/>
        </w:trPr>
        <w:tc>
          <w:tcPr>
            <w:tcW w:w="3420" w:type="dxa"/>
            <w:vAlign w:val="bottom"/>
            <w:gridSpan w:val="2"/>
          </w:tcPr>
          <w:p>
            <w:pPr>
              <w:spacing w:after="0"/>
              <w:rPr>
                <w:sz w:val="20"/>
                <w:szCs w:val="20"/>
                <w:color w:val="auto"/>
              </w:rPr>
            </w:pPr>
            <w:r>
              <w:rPr>
                <w:rFonts w:ascii="Arial" w:cs="Arial" w:eastAsia="Arial" w:hAnsi="Arial"/>
                <w:sz w:val="16"/>
                <w:szCs w:val="16"/>
                <w:color w:val="auto"/>
              </w:rPr>
              <w:t>Gross carrying amount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69,478</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13,584</w:t>
            </w:r>
          </w:p>
        </w:tc>
        <w:tc>
          <w:tcPr>
            <w:tcW w:w="880" w:type="dxa"/>
            <w:vAlign w:val="bottom"/>
          </w:tcPr>
          <w:p>
            <w:pPr>
              <w:jc w:val="right"/>
              <w:spacing w:after="0"/>
              <w:rPr>
                <w:sz w:val="20"/>
                <w:szCs w:val="20"/>
                <w:color w:val="auto"/>
              </w:rPr>
            </w:pPr>
            <w:r>
              <w:rPr>
                <w:rFonts w:ascii="Arial" w:cs="Arial" w:eastAsia="Arial" w:hAnsi="Arial"/>
                <w:sz w:val="16"/>
                <w:szCs w:val="16"/>
                <w:color w:val="auto"/>
              </w:rPr>
              <w:t>4,989</w:t>
            </w:r>
          </w:p>
        </w:tc>
        <w:tc>
          <w:tcPr>
            <w:tcW w:w="26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2,224</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1,176</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13,061</w:t>
            </w:r>
          </w:p>
        </w:tc>
        <w:tc>
          <w:tcPr>
            <w:tcW w:w="880" w:type="dxa"/>
            <w:vAlign w:val="bottom"/>
          </w:tcPr>
          <w:p>
            <w:pPr>
              <w:jc w:val="right"/>
              <w:spacing w:after="0"/>
              <w:rPr>
                <w:sz w:val="20"/>
                <w:szCs w:val="20"/>
                <w:color w:val="auto"/>
              </w:rPr>
            </w:pPr>
            <w:r>
              <w:rPr>
                <w:rFonts w:ascii="Arial" w:cs="Arial" w:eastAsia="Arial" w:hAnsi="Arial"/>
                <w:sz w:val="16"/>
                <w:szCs w:val="16"/>
                <w:color w:val="auto"/>
              </w:rPr>
              <w:t>104,512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loss allowance</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(474)</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(269)</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(124)</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(97)</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(10,464)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(11,488)</w:t>
            </w:r>
          </w:p>
        </w:tc>
      </w:tr>
      <w:tr>
        <w:trPr>
          <w:trHeight w:val="179"/>
        </w:trPr>
        <w:tc>
          <w:tcPr>
            <w:tcW w:w="33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69,004</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13,315</w:t>
            </w: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4,865</w:t>
            </w: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2,127</w:t>
            </w: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1,116</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2,597</w:t>
            </w: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93,024</w:t>
            </w:r>
          </w:p>
        </w:tc>
        <w:tc>
          <w:tcPr>
            <w:tcW w:w="2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As of December 31, 2021 no impairment losses were recognized for balances in connection with related parties. However, as of December 31, 2020 and 2019 an allowance was constituted to open balances referred to goods sold with </w:t>
      </w:r>
      <w:r>
        <w:rPr>
          <w:rFonts w:ascii="Arial" w:cs="Arial" w:eastAsia="Arial" w:hAnsi="Arial"/>
          <w:sz w:val="16"/>
          <w:szCs w:val="16"/>
          <w:i w:val="1"/>
          <w:iCs w:val="1"/>
          <w:color w:val="auto"/>
        </w:rPr>
        <w:t>Industrias Intercaps de Venezuela and Laboratorios Vivax Pharmaceuticals,</w:t>
      </w:r>
      <w:r>
        <w:rPr>
          <w:rFonts w:ascii="Arial" w:cs="Arial" w:eastAsia="Arial" w:hAnsi="Arial"/>
          <w:sz w:val="16"/>
          <w:szCs w:val="16"/>
          <w:color w:val="auto"/>
        </w:rPr>
        <w:t>, due to the critical political and social situation that the location country of precedence is experiencing, See Note 29. Related party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27.3.4. Market risk</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Foreign currency risk</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Group carries out transactions denominated in foreign currency, mainly imports, exports and indebtedness; thereby generating exposures to exchange rate fluctuations. The Group does not usually cover exposures to the exchange rate, but rather monitors frequently the foreign exchange market as a strategy to prevent significant loss in the short-and medium-term.</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40" w:type="dxa"/>
            <w:vAlign w:val="bottom"/>
            <w:gridSpan w:val="11"/>
          </w:tcPr>
          <w:p>
            <w:pPr>
              <w:spacing w:after="0"/>
              <w:rPr>
                <w:sz w:val="20"/>
                <w:szCs w:val="20"/>
                <w:color w:val="auto"/>
              </w:rPr>
            </w:pPr>
            <w:r>
              <w:rPr>
                <w:rFonts w:ascii="Arial" w:cs="Arial" w:eastAsia="Arial" w:hAnsi="Arial"/>
                <w:sz w:val="16"/>
                <w:szCs w:val="16"/>
                <w:color w:val="auto"/>
                <w:w w:val="98"/>
              </w:rPr>
              <w:t>The carrying amounts of the Group’s foreign currency denominated monetary assets and monetary liabilities at the reporting date are as follows: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8"/>
        </w:trPr>
        <w:tc>
          <w:tcPr>
            <w:tcW w:w="32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Assets</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Liabilities</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32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COP</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124,545</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100,077</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92,849</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(99,371)</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(124,957)</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(99,880)</w:t>
            </w:r>
          </w:p>
        </w:tc>
        <w:tc>
          <w:tcPr>
            <w:tcW w:w="120" w:type="dxa"/>
            <w:vAlign w:val="bottom"/>
            <w:shd w:val="clear" w:color="auto" w:fill="CCEEFF"/>
          </w:tcPr>
          <w:p>
            <w:pPr>
              <w:spacing w:after="0"/>
              <w:rPr>
                <w:sz w:val="16"/>
                <w:szCs w:val="16"/>
                <w:color w:val="auto"/>
              </w:rPr>
            </w:pPr>
          </w:p>
        </w:tc>
      </w:tr>
      <w:tr>
        <w:trPr>
          <w:trHeight w:val="191"/>
        </w:trPr>
        <w:tc>
          <w:tcPr>
            <w:tcW w:w="3260" w:type="dxa"/>
            <w:vAlign w:val="bottom"/>
          </w:tcPr>
          <w:p>
            <w:pPr>
              <w:spacing w:after="0"/>
              <w:rPr>
                <w:sz w:val="20"/>
                <w:szCs w:val="20"/>
                <w:color w:val="auto"/>
              </w:rPr>
            </w:pPr>
            <w:r>
              <w:rPr>
                <w:rFonts w:ascii="Arial" w:cs="Arial" w:eastAsia="Arial" w:hAnsi="Arial"/>
                <w:sz w:val="16"/>
                <w:szCs w:val="16"/>
                <w:color w:val="auto"/>
              </w:rPr>
              <w:t>Reales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7,002</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4,808</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6,700</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(9,125)</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(5,385)</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(2,978)</w:t>
            </w: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Córdoba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2,719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(2,600)</w:t>
            </w:r>
          </w:p>
        </w:tc>
      </w:tr>
      <w:tr>
        <w:trPr>
          <w:trHeight w:val="191"/>
        </w:trPr>
        <w:tc>
          <w:tcPr>
            <w:tcW w:w="3260" w:type="dxa"/>
            <w:vAlign w:val="bottom"/>
          </w:tcPr>
          <w:p>
            <w:pPr>
              <w:spacing w:after="0"/>
              <w:rPr>
                <w:sz w:val="20"/>
                <w:szCs w:val="20"/>
                <w:color w:val="auto"/>
              </w:rPr>
            </w:pPr>
            <w:r>
              <w:rPr>
                <w:rFonts w:ascii="Arial" w:cs="Arial" w:eastAsia="Arial" w:hAnsi="Arial"/>
                <w:sz w:val="16"/>
                <w:szCs w:val="16"/>
                <w:color w:val="auto"/>
              </w:rPr>
              <w:t>Quetzales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1,946</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90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1,558</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(4,115)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(4,805)</w:t>
            </w: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Soles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7,024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5,249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4,819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(8,564)</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(6,928)</w:t>
            </w:r>
          </w:p>
        </w:tc>
      </w:tr>
      <w:tr>
        <w:trPr>
          <w:trHeight w:val="191"/>
        </w:trPr>
        <w:tc>
          <w:tcPr>
            <w:tcW w:w="3260" w:type="dxa"/>
            <w:vAlign w:val="bottom"/>
          </w:tcPr>
          <w:p>
            <w:pPr>
              <w:spacing w:after="0"/>
              <w:rPr>
                <w:sz w:val="20"/>
                <w:szCs w:val="20"/>
                <w:color w:val="auto"/>
              </w:rPr>
            </w:pPr>
            <w:r>
              <w:rPr>
                <w:rFonts w:ascii="Arial" w:cs="Arial" w:eastAsia="Arial" w:hAnsi="Arial"/>
                <w:sz w:val="16"/>
                <w:szCs w:val="16"/>
                <w:color w:val="auto"/>
              </w:rPr>
              <w:t>DOP</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809</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817</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(2,869)</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(3,093)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Colones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1,270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1,234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(2,371)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(2,410)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bl>
    <w:p>
      <w:pPr>
        <w:spacing w:after="0" w:line="179"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The following table details sensitivity per company to a 10% increase and decrease in the U.S. dollar against the relevant foreign currencies. The sensitivity analysis includes only the outstanding monetary items denominated in foreign currency and adjusts its conversion at the end of the period for a 10% change in exchange rates.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3540" w:type="dxa"/>
            <w:vAlign w:val="bottom"/>
            <w:gridSpan w:val="6"/>
          </w:tcPr>
          <w:p>
            <w:pPr>
              <w:jc w:val="center"/>
              <w:ind w:left="280"/>
              <w:spacing w:after="0"/>
              <w:rPr>
                <w:sz w:val="20"/>
                <w:szCs w:val="20"/>
                <w:color w:val="auto"/>
              </w:rPr>
            </w:pPr>
            <w:r>
              <w:rPr>
                <w:rFonts w:ascii="Arial" w:cs="Arial" w:eastAsia="Arial" w:hAnsi="Arial"/>
                <w:sz w:val="16"/>
                <w:szCs w:val="16"/>
                <w:b w:val="1"/>
                <w:bCs w:val="1"/>
                <w:color w:val="auto"/>
                <w:w w:val="91"/>
              </w:rPr>
              <w:t>+10% Impact to profit or loss before tax</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7"/>
          </w:tcPr>
          <w:p>
            <w:pPr>
              <w:jc w:val="right"/>
              <w:ind w:right="640"/>
              <w:spacing w:after="0"/>
              <w:rPr>
                <w:sz w:val="20"/>
                <w:szCs w:val="20"/>
                <w:color w:val="auto"/>
              </w:rPr>
            </w:pPr>
            <w:r>
              <w:rPr>
                <w:rFonts w:ascii="Arial" w:cs="Arial" w:eastAsia="Arial" w:hAnsi="Arial"/>
                <w:sz w:val="16"/>
                <w:szCs w:val="16"/>
                <w:b w:val="1"/>
                <w:bCs w:val="1"/>
                <w:color w:val="auto"/>
              </w:rPr>
              <w:t>-10% Impact to profit or loss before tax</w:t>
            </w:r>
          </w:p>
        </w:tc>
      </w:tr>
      <w:tr>
        <w:trPr>
          <w:trHeight w:val="207"/>
        </w:trPr>
        <w:tc>
          <w:tcPr>
            <w:tcW w:w="3260" w:type="dxa"/>
            <w:vAlign w:val="bottom"/>
          </w:tcPr>
          <w:p>
            <w:pPr>
              <w:spacing w:after="0"/>
              <w:rPr>
                <w:sz w:val="18"/>
                <w:szCs w:val="18"/>
                <w:color w:val="auto"/>
              </w:rPr>
            </w:pPr>
          </w:p>
        </w:tc>
        <w:tc>
          <w:tcPr>
            <w:tcW w:w="114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4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91"/>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COP</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2,262</w:t>
            </w: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2,797</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3260" w:type="dxa"/>
            <w:vAlign w:val="bottom"/>
          </w:tcPr>
          <w:p>
            <w:pPr>
              <w:spacing w:after="0"/>
              <w:rPr>
                <w:sz w:val="20"/>
                <w:szCs w:val="20"/>
                <w:color w:val="auto"/>
              </w:rPr>
            </w:pPr>
            <w:r>
              <w:rPr>
                <w:rFonts w:ascii="Arial" w:cs="Arial" w:eastAsia="Arial" w:hAnsi="Arial"/>
                <w:sz w:val="16"/>
                <w:szCs w:val="16"/>
                <w:color w:val="auto"/>
              </w:rPr>
              <w:t>Reales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193</w:t>
            </w: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52</w:t>
            </w:r>
          </w:p>
        </w:tc>
        <w:tc>
          <w:tcPr>
            <w:tcW w:w="7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(338)</w:t>
            </w:r>
          </w:p>
        </w:tc>
        <w:tc>
          <w:tcPr>
            <w:tcW w:w="7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(236)</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(64)</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414</w:t>
            </w: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Córdoba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10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w:t>
            </w:r>
          </w:p>
        </w:tc>
        <w:tc>
          <w:tcPr>
            <w:tcW w:w="7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6"/>
                <w:szCs w:val="16"/>
                <w:color w:val="auto"/>
              </w:rPr>
            </w:pPr>
          </w:p>
        </w:tc>
      </w:tr>
      <w:tr>
        <w:trPr>
          <w:trHeight w:val="191"/>
        </w:trPr>
        <w:tc>
          <w:tcPr>
            <w:tcW w:w="3260" w:type="dxa"/>
            <w:vAlign w:val="bottom"/>
          </w:tcPr>
          <w:p>
            <w:pPr>
              <w:spacing w:after="0"/>
              <w:rPr>
                <w:sz w:val="20"/>
                <w:szCs w:val="20"/>
                <w:color w:val="auto"/>
              </w:rPr>
            </w:pPr>
            <w:r>
              <w:rPr>
                <w:rFonts w:ascii="Arial" w:cs="Arial" w:eastAsia="Arial" w:hAnsi="Arial"/>
                <w:sz w:val="16"/>
                <w:szCs w:val="16"/>
                <w:color w:val="auto"/>
              </w:rPr>
              <w:t>Quetzales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197</w:t>
            </w:r>
          </w:p>
        </w:tc>
        <w:tc>
          <w:tcPr>
            <w:tcW w:w="76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(8)</w:t>
            </w: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295</w:t>
            </w:r>
          </w:p>
        </w:tc>
        <w:tc>
          <w:tcPr>
            <w:tcW w:w="7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(241)</w:t>
            </w: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(361)</w:t>
            </w: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Soles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(639)</w:t>
            </w: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301</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192</w:t>
            </w:r>
          </w:p>
        </w:tc>
        <w:tc>
          <w:tcPr>
            <w:tcW w:w="7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781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(234)</w:t>
            </w:r>
          </w:p>
        </w:tc>
      </w:tr>
      <w:tr>
        <w:trPr>
          <w:trHeight w:val="191"/>
        </w:trPr>
        <w:tc>
          <w:tcPr>
            <w:tcW w:w="3260" w:type="dxa"/>
            <w:vAlign w:val="bottom"/>
          </w:tcPr>
          <w:p>
            <w:pPr>
              <w:spacing w:after="0"/>
              <w:rPr>
                <w:sz w:val="20"/>
                <w:szCs w:val="20"/>
                <w:color w:val="auto"/>
              </w:rPr>
            </w:pPr>
            <w:r>
              <w:rPr>
                <w:rFonts w:ascii="Arial" w:cs="Arial" w:eastAsia="Arial" w:hAnsi="Arial"/>
                <w:sz w:val="16"/>
                <w:szCs w:val="16"/>
                <w:color w:val="auto"/>
              </w:rPr>
              <w:t>DOP</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187</w:t>
            </w: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207</w:t>
            </w:r>
          </w:p>
        </w:tc>
        <w:tc>
          <w:tcPr>
            <w:tcW w:w="780" w:type="dxa"/>
            <w:vAlign w:val="bottom"/>
          </w:tcPr>
          <w:p>
            <w:pPr>
              <w:spacing w:after="0"/>
              <w:rPr>
                <w:sz w:val="16"/>
                <w:szCs w:val="16"/>
                <w:color w:val="auto"/>
              </w:rPr>
            </w:pPr>
          </w:p>
        </w:tc>
        <w:tc>
          <w:tcPr>
            <w:tcW w:w="1320" w:type="dxa"/>
            <w:vAlign w:val="bottom"/>
            <w:gridSpan w:val="3"/>
          </w:tcPr>
          <w:p>
            <w:pPr>
              <w:jc w:val="right"/>
              <w:ind w:right="88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(229)</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(253)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Colones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w:t>
            </w: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w:t>
            </w:r>
          </w:p>
        </w:tc>
        <w:tc>
          <w:tcPr>
            <w:tcW w:w="78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8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rate risk</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Group is exposed to interest rate risks because it borrows money at both fixed and variable interest rates connected with LIBOR and IBR/DTF (According to it’s Spanish acronym of “</w:t>
      </w:r>
      <w:r>
        <w:rPr>
          <w:rFonts w:ascii="Arial" w:cs="Arial" w:eastAsia="Arial" w:hAnsi="Arial"/>
          <w:sz w:val="15"/>
          <w:szCs w:val="15"/>
          <w:i w:val="1"/>
          <w:iCs w:val="1"/>
          <w:color w:val="auto"/>
        </w:rPr>
        <w:t>Indicador bancario de referencia</w:t>
      </w:r>
      <w:r>
        <w:rPr>
          <w:rFonts w:ascii="Arial" w:cs="Arial" w:eastAsia="Arial" w:hAnsi="Arial"/>
          <w:sz w:val="15"/>
          <w:szCs w:val="15"/>
          <w:color w:val="auto"/>
        </w:rPr>
        <w:t>” which is the benchmark banking indicator, in Colombia). The risk is managed by the Group, by monitoring the macroeconomic variables that determine the variation of the interest rates and generating an appropriate mix between fixed rate and variable rate loans.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sensitivity analyzes have been determined based on exposure of financial liabilities to the highlighted variable interest rates: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5"/>
        </w:trPr>
        <w:tc>
          <w:tcPr>
            <w:tcW w:w="1260" w:type="dxa"/>
            <w:vAlign w:val="bottom"/>
          </w:tcPr>
          <w:p>
            <w:pPr>
              <w:spacing w:after="0"/>
              <w:rPr>
                <w:sz w:val="15"/>
                <w:szCs w:val="15"/>
                <w:color w:val="auto"/>
              </w:rPr>
            </w:pPr>
          </w:p>
        </w:tc>
        <w:tc>
          <w:tcPr>
            <w:tcW w:w="114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94"/>
              </w:rPr>
              <w:t>Carrying</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380"/>
              <w:spacing w:after="0" w:line="175" w:lineRule="exact"/>
              <w:rPr>
                <w:sz w:val="20"/>
                <w:szCs w:val="20"/>
                <w:color w:val="auto"/>
              </w:rPr>
            </w:pPr>
            <w:r>
              <w:rPr>
                <w:rFonts w:ascii="Arial" w:cs="Arial" w:eastAsia="Arial" w:hAnsi="Arial"/>
                <w:sz w:val="16"/>
                <w:szCs w:val="16"/>
                <w:b w:val="1"/>
                <w:bCs w:val="1"/>
                <w:color w:val="auto"/>
              </w:rPr>
              <w:t>Carrying</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340"/>
              <w:spacing w:after="0" w:line="175" w:lineRule="exact"/>
              <w:rPr>
                <w:sz w:val="20"/>
                <w:szCs w:val="20"/>
                <w:color w:val="auto"/>
              </w:rPr>
            </w:pPr>
            <w:r>
              <w:rPr>
                <w:rFonts w:ascii="Arial" w:cs="Arial" w:eastAsia="Arial" w:hAnsi="Arial"/>
                <w:sz w:val="16"/>
                <w:szCs w:val="16"/>
                <w:b w:val="1"/>
                <w:bCs w:val="1"/>
                <w:color w:val="auto"/>
              </w:rPr>
              <w:t>Carrying</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12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amount</w:t>
            </w:r>
          </w:p>
        </w:tc>
        <w:tc>
          <w:tcPr>
            <w:tcW w:w="900" w:type="dxa"/>
            <w:vAlign w:val="bottom"/>
          </w:tcPr>
          <w:p>
            <w:pPr>
              <w:jc w:val="right"/>
              <w:ind w:right="200"/>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8"/>
                <w:szCs w:val="18"/>
                <w:color w:val="auto"/>
              </w:rPr>
            </w:pPr>
          </w:p>
        </w:tc>
        <w:tc>
          <w:tcPr>
            <w:tcW w:w="920" w:type="dxa"/>
            <w:vAlign w:val="bottom"/>
          </w:tcPr>
          <w:p>
            <w:pPr>
              <w:jc w:val="right"/>
              <w:ind w:right="240"/>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amount</w:t>
            </w:r>
          </w:p>
        </w:tc>
        <w:tc>
          <w:tcPr>
            <w:tcW w:w="900" w:type="dxa"/>
            <w:vAlign w:val="bottom"/>
          </w:tcPr>
          <w:p>
            <w:pPr>
              <w:jc w:val="right"/>
              <w:ind w:right="200"/>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18"/>
                <w:szCs w:val="18"/>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amount</w:t>
            </w:r>
          </w:p>
        </w:tc>
        <w:tc>
          <w:tcPr>
            <w:tcW w:w="880" w:type="dxa"/>
            <w:vAlign w:val="bottom"/>
          </w:tcPr>
          <w:p>
            <w:pPr>
              <w:jc w:val="right"/>
              <w:ind w:right="200"/>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18"/>
                <w:szCs w:val="18"/>
                <w:color w:val="auto"/>
              </w:rPr>
            </w:pPr>
          </w:p>
        </w:tc>
        <w:tc>
          <w:tcPr>
            <w:tcW w:w="880" w:type="dxa"/>
            <w:vAlign w:val="bottom"/>
          </w:tcPr>
          <w:p>
            <w:pPr>
              <w:jc w:val="right"/>
              <w:ind w:right="220"/>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r>
      <w:tr>
        <w:trPr>
          <w:trHeight w:val="191"/>
        </w:trPr>
        <w:tc>
          <w:tcPr>
            <w:tcW w:w="1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DTF/IBR</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67,970</w:t>
            </w: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68,650</w:t>
            </w:r>
          </w:p>
        </w:tc>
        <w:tc>
          <w:tcPr>
            <w:tcW w:w="2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67,290</w:t>
            </w: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105,039</w:t>
            </w: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106,089</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103,989</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91,443</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92,357</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90,529</w:t>
            </w: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1260" w:type="dxa"/>
            <w:vAlign w:val="bottom"/>
          </w:tcPr>
          <w:p>
            <w:pPr>
              <w:spacing w:after="0"/>
              <w:rPr>
                <w:sz w:val="20"/>
                <w:szCs w:val="20"/>
                <w:color w:val="auto"/>
              </w:rPr>
            </w:pPr>
            <w:r>
              <w:rPr>
                <w:rFonts w:ascii="Arial" w:cs="Arial" w:eastAsia="Arial" w:hAnsi="Arial"/>
                <w:sz w:val="16"/>
                <w:szCs w:val="16"/>
                <w:color w:val="auto"/>
              </w:rPr>
              <w:t>Libor</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19,451</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19,646</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19,256</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45,301</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45,754</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44,848</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51,244</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51,756</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50,732</w:t>
            </w:r>
          </w:p>
        </w:tc>
      </w:tr>
      <w:tr>
        <w:trPr>
          <w:trHeight w:val="195"/>
        </w:trPr>
        <w:tc>
          <w:tcPr>
            <w:tcW w:w="1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87,421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88,296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86,546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150,340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151,843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148,837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142,687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144,113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141,261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577"/>
        </w:trPr>
        <w:tc>
          <w:tcPr>
            <w:tcW w:w="1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F-75</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2" w:right="31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$87,421 or 34.50% as of December 31, 2021 and 150,340 or 32.26%% as of December 31, 2020, of the Group’s interest-bearing financial liabilities bears interest at a variable rate. An increase of 1% in interest rates for the year ended December 31, 2021 would have decreased profit before tax by $875 in 2021 and decreased profit before tax by $1,503 in 2020. A decrease of 1% will have an equal and opposite effect on profit before tax. This sensitivity does not include the balances of financial obligations with a Fixed Rate.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27.3.5. Liquidity risk</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Group’s Financial UAC has ultimate responsibility for the liquidity management of each of the companies and has established an appropriate framework so that Management can make decisions on short-, medium- and long-term financing, as well as liquidity management. The company manages liquidity risk by maintaining reserves, adequate financial and loan facilities, continuously monitoring projected and actual cash flows, and reconciling the maturity profiles of financial assets and liabilities. In the same sense, financial assets to afford obligations represent cash and trade receivables intended to be collected in short term, net of the expectations of recoverability.</w:t>
      </w:r>
    </w:p>
    <w:p>
      <w:pPr>
        <w:spacing w:after="0" w:line="13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following table details the most representative remaining contractual maturity and repayment periods of the Group's financial liabilities. This reflects the undiscounted cash flows of financial liabilities, considering the date on which the company must make the final payments.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part of other liabilities within borrowings, the Group includes obligations to factors associated with factoring and reverse factoring arrangements. Ordinary payment terms with suppliers range between 60 and 90 days but may be extended through reverse factoring arrangements up to 180 days in aggregate.</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Group’s obligations to individual factors typically is less than 5% of the Group’s total indebtedness. The majority of the Group’s factoring and reverse factoring obligations are concentrated with Sufactura S.A, Corredores Asociados S.A. and Banco Serfinansa S.A.: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w w:val="89"/>
              </w:rPr>
              <w:t>As of December 31, 2021</w:t>
            </w: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5"/>
        </w:trPr>
        <w:tc>
          <w:tcPr>
            <w:tcW w:w="3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4"/>
              </w:rPr>
              <w:t>More</w:t>
            </w:r>
          </w:p>
        </w:tc>
        <w:tc>
          <w:tcPr>
            <w:tcW w:w="120" w:type="dxa"/>
            <w:vAlign w:val="bottom"/>
          </w:tcPr>
          <w:p>
            <w:pPr>
              <w:spacing w:after="0"/>
              <w:rPr>
                <w:sz w:val="15"/>
                <w:szCs w:val="15"/>
                <w:color w:val="auto"/>
              </w:rPr>
            </w:pPr>
          </w:p>
        </w:tc>
      </w:tr>
      <w:tr>
        <w:trPr>
          <w:trHeight w:val="191"/>
        </w:trPr>
        <w:tc>
          <w:tcPr>
            <w:tcW w:w="350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Carrying</w:t>
            </w: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Contractual</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Less than</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than 5</w:t>
            </w:r>
          </w:p>
        </w:tc>
      </w:tr>
      <w:tr>
        <w:trPr>
          <w:trHeight w:val="212"/>
        </w:trPr>
        <w:tc>
          <w:tcPr>
            <w:tcW w:w="35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amount</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cash flows</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1 year</w:t>
            </w:r>
          </w:p>
        </w:tc>
        <w:tc>
          <w:tcPr>
            <w:tcW w:w="1240" w:type="dxa"/>
            <w:vAlign w:val="bottom"/>
            <w:gridSpan w:val="3"/>
          </w:tcPr>
          <w:p>
            <w:pPr>
              <w:ind w:left="140"/>
              <w:spacing w:after="0"/>
              <w:rPr>
                <w:sz w:val="20"/>
                <w:szCs w:val="20"/>
                <w:color w:val="auto"/>
              </w:rPr>
            </w:pPr>
            <w:r>
              <w:rPr>
                <w:rFonts w:ascii="Arial" w:cs="Arial" w:eastAsia="Arial" w:hAnsi="Arial"/>
                <w:sz w:val="16"/>
                <w:szCs w:val="16"/>
                <w:b w:val="1"/>
                <w:bCs w:val="1"/>
                <w:color w:val="auto"/>
              </w:rPr>
              <w:t>1-2 years</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89"/>
              </w:rPr>
              <w:t>2-3 years</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3-5 years</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years</w:t>
            </w:r>
          </w:p>
        </w:tc>
      </w:tr>
      <w:tr>
        <w:trPr>
          <w:trHeight w:val="191"/>
        </w:trPr>
        <w:tc>
          <w:tcPr>
            <w:tcW w:w="3500" w:type="dxa"/>
            <w:vAlign w:val="bottom"/>
          </w:tcPr>
          <w:p>
            <w:pPr>
              <w:spacing w:after="0"/>
              <w:rPr>
                <w:sz w:val="20"/>
                <w:szCs w:val="20"/>
                <w:color w:val="auto"/>
              </w:rPr>
            </w:pPr>
            <w:r>
              <w:rPr>
                <w:rFonts w:ascii="Arial" w:cs="Arial" w:eastAsia="Arial" w:hAnsi="Arial"/>
                <w:sz w:val="16"/>
                <w:szCs w:val="16"/>
                <w:b w:val="1"/>
                <w:bCs w:val="1"/>
                <w:color w:val="auto"/>
              </w:rPr>
              <w:t>Non-derivative financial liabilities</w:t>
            </w: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221,619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253,011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71,987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16,895</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15,330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20,323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128,476</w:t>
            </w:r>
          </w:p>
        </w:tc>
      </w:tr>
      <w:tr>
        <w:trPr>
          <w:trHeight w:val="191"/>
        </w:trPr>
        <w:tc>
          <w:tcPr>
            <w:tcW w:w="3500" w:type="dxa"/>
            <w:vAlign w:val="bottom"/>
          </w:tcPr>
          <w:p>
            <w:pPr>
              <w:spacing w:after="0"/>
              <w:rPr>
                <w:sz w:val="20"/>
                <w:szCs w:val="20"/>
                <w:color w:val="auto"/>
              </w:rPr>
            </w:pPr>
            <w:r>
              <w:rPr>
                <w:rFonts w:ascii="Arial" w:cs="Arial" w:eastAsia="Arial" w:hAnsi="Arial"/>
                <w:sz w:val="16"/>
                <w:szCs w:val="16"/>
                <w:color w:val="auto"/>
              </w:rPr>
              <w:t>Trade and other payables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85,381</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85,381</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85,381</w:t>
            </w:r>
          </w:p>
        </w:tc>
        <w:tc>
          <w:tcPr>
            <w:tcW w:w="12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31,747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39,904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9,853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7,403</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5,333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8,314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9,001</w:t>
            </w:r>
          </w:p>
        </w:tc>
      </w:tr>
      <w:tr>
        <w:trPr>
          <w:trHeight w:val="207"/>
        </w:trPr>
        <w:tc>
          <w:tcPr>
            <w:tcW w:w="3500" w:type="dxa"/>
            <w:vAlign w:val="bottom"/>
          </w:tcPr>
          <w:p>
            <w:pPr>
              <w:spacing w:after="0"/>
              <w:rPr>
                <w:sz w:val="20"/>
                <w:szCs w:val="20"/>
                <w:color w:val="auto"/>
              </w:rPr>
            </w:pPr>
            <w:r>
              <w:rPr>
                <w:rFonts w:ascii="Arial" w:cs="Arial" w:eastAsia="Arial" w:hAnsi="Arial"/>
                <w:sz w:val="16"/>
                <w:szCs w:val="16"/>
                <w:color w:val="auto"/>
              </w:rPr>
              <w:t>Amounts owed to related parties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8,450</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8,450</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8,450</w:t>
            </w:r>
          </w:p>
        </w:tc>
        <w:tc>
          <w:tcPr>
            <w:tcW w:w="12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35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347,197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386,746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175,671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24,298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20,663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28,637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137,477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398"/>
        </w:trPr>
        <w:tc>
          <w:tcPr>
            <w:tcW w:w="35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w w:val="89"/>
              </w:rPr>
              <w:t>As of December 31, 2020</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5"/>
        </w:trPr>
        <w:tc>
          <w:tcPr>
            <w:tcW w:w="3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4"/>
              </w:rPr>
              <w:t>More</w:t>
            </w:r>
          </w:p>
        </w:tc>
        <w:tc>
          <w:tcPr>
            <w:tcW w:w="120" w:type="dxa"/>
            <w:vAlign w:val="bottom"/>
          </w:tcPr>
          <w:p>
            <w:pPr>
              <w:spacing w:after="0"/>
              <w:rPr>
                <w:sz w:val="15"/>
                <w:szCs w:val="15"/>
                <w:color w:val="auto"/>
              </w:rPr>
            </w:pPr>
          </w:p>
        </w:tc>
      </w:tr>
      <w:tr>
        <w:trPr>
          <w:trHeight w:val="191"/>
        </w:trPr>
        <w:tc>
          <w:tcPr>
            <w:tcW w:w="350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Carrying</w:t>
            </w: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Contractual</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Less than</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than 5</w:t>
            </w:r>
          </w:p>
        </w:tc>
      </w:tr>
      <w:tr>
        <w:trPr>
          <w:trHeight w:val="212"/>
        </w:trPr>
        <w:tc>
          <w:tcPr>
            <w:tcW w:w="35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amount</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cash flows</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1 year</w:t>
            </w:r>
          </w:p>
        </w:tc>
        <w:tc>
          <w:tcPr>
            <w:tcW w:w="1240" w:type="dxa"/>
            <w:vAlign w:val="bottom"/>
            <w:gridSpan w:val="3"/>
          </w:tcPr>
          <w:p>
            <w:pPr>
              <w:ind w:left="140"/>
              <w:spacing w:after="0"/>
              <w:rPr>
                <w:sz w:val="20"/>
                <w:szCs w:val="20"/>
                <w:color w:val="auto"/>
              </w:rPr>
            </w:pPr>
            <w:r>
              <w:rPr>
                <w:rFonts w:ascii="Arial" w:cs="Arial" w:eastAsia="Arial" w:hAnsi="Arial"/>
                <w:sz w:val="16"/>
                <w:szCs w:val="16"/>
                <w:b w:val="1"/>
                <w:bCs w:val="1"/>
                <w:color w:val="auto"/>
              </w:rPr>
              <w:t>1-2 years</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89"/>
              </w:rPr>
              <w:t>2-3 years</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3-5 years</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years</w:t>
            </w:r>
          </w:p>
        </w:tc>
      </w:tr>
      <w:tr>
        <w:trPr>
          <w:trHeight w:val="191"/>
        </w:trPr>
        <w:tc>
          <w:tcPr>
            <w:tcW w:w="3500" w:type="dxa"/>
            <w:vAlign w:val="bottom"/>
          </w:tcPr>
          <w:p>
            <w:pPr>
              <w:spacing w:after="0"/>
              <w:rPr>
                <w:sz w:val="20"/>
                <w:szCs w:val="20"/>
                <w:color w:val="auto"/>
              </w:rPr>
            </w:pPr>
            <w:r>
              <w:rPr>
                <w:rFonts w:ascii="Arial" w:cs="Arial" w:eastAsia="Arial" w:hAnsi="Arial"/>
                <w:sz w:val="16"/>
                <w:szCs w:val="16"/>
                <w:b w:val="1"/>
                <w:bCs w:val="1"/>
                <w:color w:val="auto"/>
              </w:rPr>
              <w:t>Non-derivative financial liabilities</w:t>
            </w: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417,719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628,874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114,214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65,966</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447,035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1,103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556</w:t>
            </w:r>
          </w:p>
        </w:tc>
      </w:tr>
      <w:tr>
        <w:trPr>
          <w:trHeight w:val="191"/>
        </w:trPr>
        <w:tc>
          <w:tcPr>
            <w:tcW w:w="3500" w:type="dxa"/>
            <w:vAlign w:val="bottom"/>
          </w:tcPr>
          <w:p>
            <w:pPr>
              <w:spacing w:after="0"/>
              <w:rPr>
                <w:sz w:val="20"/>
                <w:szCs w:val="20"/>
                <w:color w:val="auto"/>
              </w:rPr>
            </w:pPr>
            <w:r>
              <w:rPr>
                <w:rFonts w:ascii="Arial" w:cs="Arial" w:eastAsia="Arial" w:hAnsi="Arial"/>
                <w:sz w:val="16"/>
                <w:szCs w:val="16"/>
                <w:color w:val="auto"/>
              </w:rPr>
              <w:t>Trade and other payables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94,116</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94,116</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94,116</w:t>
            </w:r>
          </w:p>
        </w:tc>
        <w:tc>
          <w:tcPr>
            <w:tcW w:w="12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36,799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39,571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11,392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12,963</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6,759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3,441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5,016</w:t>
            </w:r>
          </w:p>
        </w:tc>
      </w:tr>
      <w:tr>
        <w:trPr>
          <w:trHeight w:val="207"/>
        </w:trPr>
        <w:tc>
          <w:tcPr>
            <w:tcW w:w="3500" w:type="dxa"/>
            <w:vAlign w:val="bottom"/>
          </w:tcPr>
          <w:p>
            <w:pPr>
              <w:spacing w:after="0"/>
              <w:rPr>
                <w:sz w:val="20"/>
                <w:szCs w:val="20"/>
                <w:color w:val="auto"/>
              </w:rPr>
            </w:pPr>
            <w:r>
              <w:rPr>
                <w:rFonts w:ascii="Arial" w:cs="Arial" w:eastAsia="Arial" w:hAnsi="Arial"/>
                <w:sz w:val="16"/>
                <w:szCs w:val="16"/>
                <w:color w:val="auto"/>
              </w:rPr>
              <w:t>Amounts owed to related parties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20,622</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20,622</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8,459</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12,163</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35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569,256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783,183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228,181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91,092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453,794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4,544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5,572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577"/>
        </w:trPr>
        <w:tc>
          <w:tcPr>
            <w:tcW w:w="3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840"/>
              <w:spacing w:after="0"/>
              <w:rPr>
                <w:sz w:val="20"/>
                <w:szCs w:val="20"/>
                <w:color w:val="auto"/>
              </w:rPr>
            </w:pPr>
            <w:r>
              <w:rPr>
                <w:rFonts w:ascii="Arial" w:cs="Arial" w:eastAsia="Arial" w:hAnsi="Arial"/>
                <w:sz w:val="16"/>
                <w:szCs w:val="16"/>
                <w:color w:val="auto"/>
                <w:w w:val="91"/>
              </w:rPr>
              <w:t>F-76</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2" w:right="319" w:bottom="1440" w:gutter="0" w:footer="0" w:header="0"/>
        </w:sectPr>
      </w:pPr>
    </w:p>
    <w:bookmarkStart w:id="201" w:name="page202"/>
    <w:bookmarkEnd w:id="201"/>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Capital risk management</w:t>
      </w:r>
    </w:p>
    <w:p>
      <w:pPr>
        <w:spacing w:after="0" w:line="198"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The Group manages its capital to ensure that it will be able to continue as a going concern, while maximizing returns to its shareholders through the optimization of debt and asset balances. The Group’s capital structure consists of net debt (loans offset by cash and bank balances) and Group assets (comprised of issued and paid-in capital, reserves, retained earnings and non-controlling interests).</w:t>
      </w:r>
    </w:p>
    <w:p>
      <w:pPr>
        <w:spacing w:after="0" w:line="162"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The Group is not subject to any externally imposed capital requirement. The main indebtedness of the Group is associated with the balances of a Syndicated Loan and the Senior Notes, and are subject to covenants that obligate it to comply with a series of financial indicators, primarily financial leverage (Debt/EBITDA), short-term leverage ratio and EBITDA on interest expense. These financial indicators serve as local management parameters.</w:t>
      </w:r>
    </w:p>
    <w:p>
      <w:pPr>
        <w:spacing w:after="0" w:line="162" w:lineRule="exact"/>
        <w:rPr>
          <w:sz w:val="20"/>
          <w:szCs w:val="20"/>
          <w:color w:val="auto"/>
        </w:rPr>
      </w:pPr>
    </w:p>
    <w:p>
      <w:pPr>
        <w:jc w:val="both"/>
        <w:ind w:left="4" w:right="20"/>
        <w:spacing w:after="0" w:line="258" w:lineRule="auto"/>
        <w:rPr>
          <w:sz w:val="20"/>
          <w:szCs w:val="20"/>
          <w:color w:val="auto"/>
        </w:rPr>
      </w:pPr>
      <w:r>
        <w:rPr>
          <w:rFonts w:ascii="Arial" w:cs="Arial" w:eastAsia="Arial" w:hAnsi="Arial"/>
          <w:sz w:val="16"/>
          <w:szCs w:val="16"/>
          <w:color w:val="auto"/>
        </w:rPr>
        <w:t>The executive members of the UAC of the Group, who provide support for the analysis and management of capital risk to the Companies, review their capital structure on a quarterly basis. As part of this review, the committee considers the cost of capital and the risks associated with each class of capital. The Group is reviewed in an internal administrative manner, with the same covenants that apply to the Syndicated Procaps S.A. The main financial covenant is determined as the ratio of the debt to the EBITDA generated by the Group.</w:t>
      </w:r>
    </w:p>
    <w:p>
      <w:pPr>
        <w:spacing w:after="0" w:line="149"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7320" w:type="dxa"/>
            <w:vAlign w:val="bottom"/>
            <w:gridSpan w:val="2"/>
          </w:tcPr>
          <w:p>
            <w:pPr>
              <w:spacing w:after="0"/>
              <w:rPr>
                <w:sz w:val="20"/>
                <w:szCs w:val="20"/>
                <w:color w:val="auto"/>
              </w:rPr>
            </w:pPr>
            <w:r>
              <w:rPr>
                <w:rFonts w:ascii="Arial" w:cs="Arial" w:eastAsia="Arial" w:hAnsi="Arial"/>
                <w:sz w:val="16"/>
                <w:szCs w:val="16"/>
                <w:color w:val="auto"/>
              </w:rPr>
              <w:t>Indebtedness Index</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320" w:type="dxa"/>
            <w:vAlign w:val="bottom"/>
            <w:gridSpan w:val="2"/>
          </w:tcPr>
          <w:p>
            <w:pPr>
              <w:spacing w:after="0"/>
              <w:rPr>
                <w:sz w:val="20"/>
                <w:szCs w:val="20"/>
                <w:color w:val="auto"/>
              </w:rPr>
            </w:pPr>
            <w:r>
              <w:rPr>
                <w:rFonts w:ascii="Arial" w:cs="Arial" w:eastAsia="Arial" w:hAnsi="Arial"/>
                <w:sz w:val="16"/>
                <w:szCs w:val="16"/>
                <w:color w:val="auto"/>
              </w:rPr>
              <w:t>The indebtedness index for the reporting period is the following:</w:t>
            </w:r>
          </w:p>
        </w:tc>
        <w:tc>
          <w:tcPr>
            <w:tcW w:w="1140" w:type="dxa"/>
            <w:vAlign w:val="bottom"/>
            <w:vMerge w:val="restart"/>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24"/>
                <w:szCs w:val="24"/>
                <w:color w:val="auto"/>
              </w:rPr>
            </w:pPr>
          </w:p>
        </w:tc>
        <w:tc>
          <w:tcPr>
            <w:tcW w:w="1120" w:type="dxa"/>
            <w:vAlign w:val="bottom"/>
            <w:vMerge w:val="restart"/>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4"/>
                <w:szCs w:val="24"/>
                <w:color w:val="auto"/>
              </w:rPr>
            </w:pPr>
          </w:p>
        </w:tc>
        <w:tc>
          <w:tcPr>
            <w:tcW w:w="1100" w:type="dxa"/>
            <w:vAlign w:val="bottom"/>
            <w:vMerge w:val="restart"/>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20" w:type="dxa"/>
            <w:vAlign w:val="bottom"/>
            <w:tcBorders>
              <w:bottom w:val="single" w:sz="8" w:color="CCEEFF"/>
            </w:tcBorders>
          </w:tcPr>
          <w:p>
            <w:pPr>
              <w:spacing w:after="0"/>
              <w:rPr>
                <w:sz w:val="17"/>
                <w:szCs w:val="17"/>
                <w:color w:val="auto"/>
              </w:rPr>
            </w:pPr>
          </w:p>
        </w:tc>
        <w:tc>
          <w:tcPr>
            <w:tcW w:w="6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32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4"/>
                <w:szCs w:val="24"/>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462,135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359,538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337,728</w:t>
            </w:r>
          </w:p>
        </w:tc>
        <w:tc>
          <w:tcPr>
            <w:tcW w:w="0" w:type="dxa"/>
            <w:vAlign w:val="bottom"/>
          </w:tcPr>
          <w:p>
            <w:pPr>
              <w:spacing w:after="0"/>
              <w:rPr>
                <w:sz w:val="1"/>
                <w:szCs w:val="1"/>
                <w:color w:val="auto"/>
              </w:rPr>
            </w:pPr>
          </w:p>
        </w:tc>
      </w:tr>
      <w:tr>
        <w:trPr>
          <w:trHeight w:val="227"/>
        </w:trPr>
        <w:tc>
          <w:tcPr>
            <w:tcW w:w="7320" w:type="dxa"/>
            <w:vAlign w:val="bottom"/>
            <w:gridSpan w:val="2"/>
          </w:tcPr>
          <w:p>
            <w:pPr>
              <w:spacing w:after="0" w:line="227" w:lineRule="exact"/>
              <w:rPr>
                <w:sz w:val="20"/>
                <w:szCs w:val="20"/>
                <w:color w:val="auto"/>
              </w:rPr>
            </w:pPr>
            <w:r>
              <w:rPr>
                <w:rFonts w:ascii="Arial" w:cs="Arial" w:eastAsia="Arial" w:hAnsi="Arial"/>
                <w:sz w:val="16"/>
                <w:szCs w:val="16"/>
                <w:color w:val="auto"/>
              </w:rPr>
              <w:t xml:space="preserve">Total liabilities </w:t>
            </w:r>
            <w:r>
              <w:rPr>
                <w:rFonts w:ascii="Arial" w:cs="Arial" w:eastAsia="Arial" w:hAnsi="Arial"/>
                <w:sz w:val="26"/>
                <w:szCs w:val="26"/>
                <w:color w:val="auto"/>
                <w:vertAlign w:val="superscript"/>
              </w:rPr>
              <w:t>2</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500,475</w:t>
            </w:r>
          </w:p>
        </w:tc>
        <w:tc>
          <w:tcPr>
            <w:tcW w:w="1120" w:type="dxa"/>
            <w:vAlign w:val="bottom"/>
          </w:tcPr>
          <w:p>
            <w:pPr>
              <w:jc w:val="right"/>
              <w:spacing w:after="0"/>
              <w:rPr>
                <w:sz w:val="20"/>
                <w:szCs w:val="20"/>
                <w:color w:val="auto"/>
              </w:rPr>
            </w:pPr>
            <w:r>
              <w:rPr>
                <w:rFonts w:ascii="Arial" w:cs="Arial" w:eastAsia="Arial" w:hAnsi="Arial"/>
                <w:sz w:val="16"/>
                <w:szCs w:val="16"/>
                <w:color w:val="auto"/>
              </w:rPr>
              <w:t>614,216</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581,675</w:t>
            </w:r>
          </w:p>
        </w:tc>
        <w:tc>
          <w:tcPr>
            <w:tcW w:w="0" w:type="dxa"/>
            <w:vAlign w:val="bottom"/>
          </w:tcPr>
          <w:p>
            <w:pPr>
              <w:spacing w:after="0"/>
              <w:rPr>
                <w:sz w:val="1"/>
                <w:szCs w:val="1"/>
                <w:color w:val="auto"/>
              </w:rPr>
            </w:pP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 to assets ratio</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84" w:hanging="284"/>
        <w:spacing w:after="0"/>
        <w:tabs>
          <w:tab w:leader="none" w:pos="284" w:val="left"/>
        </w:tabs>
        <w:numPr>
          <w:ilvl w:val="0"/>
          <w:numId w:val="119"/>
        </w:numPr>
        <w:rPr>
          <w:rFonts w:ascii="Arial" w:cs="Arial" w:eastAsia="Arial" w:hAnsi="Arial"/>
          <w:sz w:val="27"/>
          <w:szCs w:val="27"/>
          <w:color w:val="auto"/>
          <w:vertAlign w:val="superscript"/>
        </w:rPr>
      </w:pPr>
      <w:r>
        <w:rPr>
          <w:rFonts w:ascii="Arial" w:cs="Arial" w:eastAsia="Arial" w:hAnsi="Arial"/>
          <w:sz w:val="16"/>
          <w:szCs w:val="16"/>
          <w:color w:val="auto"/>
        </w:rPr>
        <w:t>Defined as short-term assets plus long-term assets</w:t>
      </w:r>
    </w:p>
    <w:p>
      <w:pPr>
        <w:ind w:left="284" w:hanging="284"/>
        <w:spacing w:after="0" w:line="181" w:lineRule="auto"/>
        <w:tabs>
          <w:tab w:leader="none" w:pos="284" w:val="left"/>
        </w:tabs>
        <w:numPr>
          <w:ilvl w:val="0"/>
          <w:numId w:val="120"/>
        </w:numPr>
        <w:rPr>
          <w:rFonts w:ascii="Arial" w:cs="Arial" w:eastAsia="Arial" w:hAnsi="Arial"/>
          <w:sz w:val="22"/>
          <w:szCs w:val="22"/>
          <w:color w:val="auto"/>
          <w:vertAlign w:val="superscript"/>
        </w:rPr>
      </w:pPr>
      <w:r>
        <w:rPr>
          <w:rFonts w:ascii="Arial" w:cs="Arial" w:eastAsia="Arial" w:hAnsi="Arial"/>
          <w:sz w:val="14"/>
          <w:szCs w:val="14"/>
          <w:color w:val="auto"/>
        </w:rPr>
        <w:t>Defined as short-term liabilities plus long-term liabilities</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Note 28. Events after the reporting period</w:t>
      </w:r>
    </w:p>
    <w:p>
      <w:pPr>
        <w:spacing w:after="0" w:line="202" w:lineRule="exact"/>
        <w:rPr>
          <w:sz w:val="20"/>
          <w:szCs w:val="20"/>
          <w:color w:val="auto"/>
        </w:rPr>
      </w:pPr>
    </w:p>
    <w:p>
      <w:pPr>
        <w:ind w:left="4"/>
        <w:spacing w:after="0" w:line="275" w:lineRule="auto"/>
        <w:rPr>
          <w:sz w:val="20"/>
          <w:szCs w:val="20"/>
          <w:color w:val="auto"/>
        </w:rPr>
      </w:pPr>
      <w:r>
        <w:rPr>
          <w:rFonts w:ascii="Arial" w:cs="Arial" w:eastAsia="Arial" w:hAnsi="Arial"/>
          <w:sz w:val="16"/>
          <w:szCs w:val="16"/>
          <w:color w:val="auto"/>
        </w:rPr>
        <w:t>Management has considered subsequent events through the date these consolidated financial statements were issued. No events were identified by Management that would require disclosure.</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2" w:right="31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29. 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Balances and transactions between the Group and its subsidiaries, which are related parties, have been eliminated on consolidation and are not disclosed in this note.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Transactions between the Group and its related parties are disclosed below.</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Outstanding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the Group entities carried out the following transactions with joint ventures and other related parties: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gridSpan w:val="6"/>
          </w:tcPr>
          <w:p>
            <w:pPr>
              <w:jc w:val="center"/>
              <w:ind w:right="500"/>
              <w:spacing w:after="0"/>
              <w:rPr>
                <w:sz w:val="20"/>
                <w:szCs w:val="20"/>
                <w:color w:val="auto"/>
              </w:rPr>
            </w:pPr>
            <w:r>
              <w:rPr>
                <w:rFonts w:ascii="Arial" w:cs="Arial" w:eastAsia="Arial" w:hAnsi="Arial"/>
                <w:sz w:val="16"/>
                <w:szCs w:val="16"/>
                <w:b w:val="1"/>
                <w:bCs w:val="1"/>
                <w:color w:val="auto"/>
                <w:w w:val="90"/>
              </w:rPr>
              <w:t>For the year ended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73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6"/>
                <w:szCs w:val="16"/>
                <w:b w:val="1"/>
                <w:bCs w:val="1"/>
                <w:color w:val="auto"/>
                <w:w w:val="90"/>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7320" w:type="dxa"/>
            <w:vAlign w:val="bottom"/>
          </w:tcPr>
          <w:p>
            <w:pPr>
              <w:spacing w:after="0"/>
              <w:rPr>
                <w:sz w:val="18"/>
                <w:szCs w:val="18"/>
                <w:color w:val="auto"/>
              </w:rPr>
            </w:pP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320"/>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r>
      <w:tr>
        <w:trPr>
          <w:trHeight w:val="191"/>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Sale of finished products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3,825</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Revenue from services and consulting</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116</w:t>
            </w:r>
          </w:p>
        </w:tc>
        <w:tc>
          <w:tcPr>
            <w:tcW w:w="1300" w:type="dxa"/>
            <w:vAlign w:val="bottom"/>
            <w:gridSpan w:val="4"/>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222</w:t>
            </w: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Purchases of raw materials and other services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10,240</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11,339</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11,401</w:t>
            </w:r>
          </w:p>
        </w:tc>
        <w:tc>
          <w:tcPr>
            <w:tcW w:w="120" w:type="dxa"/>
            <w:vAlign w:val="bottom"/>
            <w:shd w:val="clear" w:color="auto" w:fill="CCEEFF"/>
          </w:tcPr>
          <w:p>
            <w:pPr>
              <w:spacing w:after="0"/>
              <w:rPr>
                <w:sz w:val="16"/>
                <w:szCs w:val="16"/>
                <w:color w:val="auto"/>
              </w:rPr>
            </w:pPr>
          </w:p>
        </w:tc>
      </w:tr>
      <w:tr>
        <w:trPr>
          <w:trHeight w:val="204"/>
        </w:trPr>
        <w:tc>
          <w:tcPr>
            <w:tcW w:w="7320" w:type="dxa"/>
            <w:vAlign w:val="bottom"/>
          </w:tcPr>
          <w:p>
            <w:pPr>
              <w:spacing w:after="0"/>
              <w:rPr>
                <w:sz w:val="20"/>
                <w:szCs w:val="20"/>
                <w:color w:val="auto"/>
              </w:rPr>
            </w:pPr>
            <w:r>
              <w:rPr>
                <w:rFonts w:ascii="Arial" w:cs="Arial" w:eastAsia="Arial" w:hAnsi="Arial"/>
                <w:sz w:val="16"/>
                <w:szCs w:val="16"/>
                <w:color w:val="auto"/>
              </w:rPr>
              <w:t>Interest expense derived from related parties amount to $61 (2020: $49).</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0"/>
        </w:trPr>
        <w:tc>
          <w:tcPr>
            <w:tcW w:w="7320" w:type="dxa"/>
            <w:vAlign w:val="bottom"/>
          </w:tcPr>
          <w:p>
            <w:pPr>
              <w:spacing w:after="0"/>
              <w:rPr>
                <w:sz w:val="20"/>
                <w:szCs w:val="20"/>
                <w:color w:val="auto"/>
              </w:rPr>
            </w:pPr>
            <w:r>
              <w:rPr>
                <w:rFonts w:ascii="Arial" w:cs="Arial" w:eastAsia="Arial" w:hAnsi="Arial"/>
                <w:sz w:val="16"/>
                <w:szCs w:val="16"/>
                <w:color w:val="auto"/>
              </w:rPr>
              <w:t>The following amounts were outstanding at the reporting date:</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6"/>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90"/>
              </w:rPr>
              <w:t>For the year ended</w:t>
            </w:r>
          </w:p>
        </w:tc>
      </w:tr>
      <w:tr>
        <w:trPr>
          <w:trHeight w:val="212"/>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center"/>
              <w:ind w:left="640"/>
              <w:spacing w:after="0"/>
              <w:rPr>
                <w:sz w:val="20"/>
                <w:szCs w:val="20"/>
                <w:color w:val="auto"/>
              </w:rPr>
            </w:pPr>
            <w:r>
              <w:rPr>
                <w:rFonts w:ascii="Arial" w:cs="Arial" w:eastAsia="Arial" w:hAnsi="Arial"/>
                <w:sz w:val="16"/>
                <w:szCs w:val="16"/>
                <w:b w:val="1"/>
                <w:bCs w:val="1"/>
                <w:color w:val="auto"/>
                <w:w w:val="90"/>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73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8"/>
                <w:szCs w:val="18"/>
                <w:color w:val="auto"/>
              </w:rPr>
            </w:pPr>
          </w:p>
        </w:tc>
      </w:tr>
      <w:tr>
        <w:trPr>
          <w:trHeight w:val="195"/>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Amounts owed by related parties, net</w:t>
            </w:r>
          </w:p>
        </w:tc>
        <w:tc>
          <w:tcPr>
            <w:tcW w:w="1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2,562</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Group has net receivables of $1,147 (2020: $2,562). These amounts include fully provisioned balances of $18,060 (2020: $18,148) with </w:t>
      </w:r>
      <w:r>
        <w:rPr>
          <w:rFonts w:ascii="Arial" w:cs="Arial" w:eastAsia="Arial" w:hAnsi="Arial"/>
          <w:sz w:val="14"/>
          <w:szCs w:val="14"/>
          <w:i w:val="1"/>
          <w:iCs w:val="1"/>
          <w:color w:val="auto"/>
        </w:rPr>
        <w:t>Industrias Intercaps de Venezuela</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$5,333 (2020: $5,472) with Laboratorios </w:t>
      </w:r>
      <w:r>
        <w:rPr>
          <w:rFonts w:ascii="Arial" w:cs="Arial" w:eastAsia="Arial" w:hAnsi="Arial"/>
          <w:sz w:val="16"/>
          <w:szCs w:val="16"/>
          <w:i w:val="1"/>
          <w:iCs w:val="1"/>
          <w:color w:val="auto"/>
        </w:rPr>
        <w:t>Vivax Pharmaceuticals</w:t>
      </w:r>
      <w:r>
        <w:rPr>
          <w:rFonts w:ascii="Arial" w:cs="Arial" w:eastAsia="Arial" w:hAnsi="Arial"/>
          <w:sz w:val="16"/>
          <w:szCs w:val="16"/>
          <w:color w:val="auto"/>
        </w:rPr>
        <w:t>. These respective amounts contain the corresponding exchange differences.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80" w:type="dxa"/>
            <w:vAlign w:val="bottom"/>
          </w:tcPr>
          <w:p>
            <w:pPr>
              <w:spacing w:after="0"/>
              <w:rPr>
                <w:sz w:val="16"/>
                <w:szCs w:val="16"/>
                <w:color w:val="auto"/>
              </w:rPr>
            </w:pPr>
          </w:p>
        </w:tc>
        <w:tc>
          <w:tcPr>
            <w:tcW w:w="258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0"/>
              </w:rPr>
              <w:t>For the year ended</w:t>
            </w:r>
          </w:p>
        </w:tc>
      </w:tr>
      <w:tr>
        <w:trPr>
          <w:trHeight w:val="212"/>
        </w:trPr>
        <w:tc>
          <w:tcPr>
            <w:tcW w:w="86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86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8"/>
                <w:szCs w:val="18"/>
                <w:color w:val="auto"/>
              </w:rPr>
            </w:pP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Amounts owed to related parties</w:t>
            </w: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1,335</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4,778</w:t>
            </w:r>
          </w:p>
        </w:tc>
        <w:tc>
          <w:tcPr>
            <w:tcW w:w="120" w:type="dxa"/>
            <w:vAlign w:val="bottom"/>
            <w:shd w:val="clear" w:color="auto" w:fill="CCEEFF"/>
          </w:tcPr>
          <w:p>
            <w:pPr>
              <w:spacing w:after="0"/>
              <w:rPr>
                <w:sz w:val="16"/>
                <w:szCs w:val="16"/>
                <w:color w:val="auto"/>
              </w:rPr>
            </w:pPr>
          </w:p>
        </w:tc>
      </w:tr>
      <w:tr>
        <w:trPr>
          <w:trHeight w:val="207"/>
        </w:trPr>
        <w:tc>
          <w:tcPr>
            <w:tcW w:w="9420" w:type="dxa"/>
            <w:vAlign w:val="bottom"/>
            <w:gridSpan w:val="2"/>
          </w:tcPr>
          <w:p>
            <w:pPr>
              <w:spacing w:after="0"/>
              <w:rPr>
                <w:sz w:val="20"/>
                <w:szCs w:val="20"/>
                <w:color w:val="auto"/>
              </w:rPr>
            </w:pPr>
            <w:r>
              <w:rPr>
                <w:rFonts w:ascii="Arial" w:cs="Arial" w:eastAsia="Arial" w:hAnsi="Arial"/>
                <w:sz w:val="16"/>
                <w:szCs w:val="16"/>
                <w:color w:val="auto"/>
              </w:rPr>
              <w:t>Loans owed to related parties</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7,115</w:t>
            </w: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15,844</w:t>
            </w:r>
          </w:p>
        </w:tc>
      </w:tr>
      <w:tr>
        <w:trPr>
          <w:trHeight w:val="19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Amounts owed to related parties</w:t>
            </w: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8,450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20,622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8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9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Current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w w:val="89"/>
              </w:rPr>
              <w:t>8,450</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8,459</w:t>
            </w:r>
          </w:p>
        </w:tc>
      </w:tr>
      <w:tr>
        <w:trPr>
          <w:trHeight w:val="208"/>
        </w:trPr>
        <w:tc>
          <w:tcPr>
            <w:tcW w:w="9420" w:type="dxa"/>
            <w:vAlign w:val="bottom"/>
            <w:gridSpan w:val="2"/>
          </w:tcPr>
          <w:p>
            <w:pPr>
              <w:spacing w:after="0"/>
              <w:rPr>
                <w:sz w:val="20"/>
                <w:szCs w:val="20"/>
                <w:color w:val="auto"/>
              </w:rPr>
            </w:pPr>
            <w:r>
              <w:rPr>
                <w:rFonts w:ascii="Arial" w:cs="Arial" w:eastAsia="Arial" w:hAnsi="Arial"/>
                <w:sz w:val="16"/>
                <w:szCs w:val="16"/>
                <w:b w:val="1"/>
                <w:bCs w:val="1"/>
                <w:color w:val="auto"/>
              </w:rPr>
              <w:t>Non-current</w:t>
            </w:r>
          </w:p>
        </w:tc>
        <w:tc>
          <w:tcPr>
            <w:tcW w:w="98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12,163</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Donations to </w:t>
      </w:r>
      <w:r>
        <w:rPr>
          <w:rFonts w:ascii="Arial" w:cs="Arial" w:eastAsia="Arial" w:hAnsi="Arial"/>
          <w:sz w:val="16"/>
          <w:szCs w:val="16"/>
          <w:i w:val="1"/>
          <w:iCs w:val="1"/>
          <w:color w:val="auto"/>
        </w:rPr>
        <w:t>Fundación Procaps</w:t>
      </w:r>
      <w:r>
        <w:rPr>
          <w:rFonts w:ascii="Arial" w:cs="Arial" w:eastAsia="Arial" w:hAnsi="Arial"/>
          <w:sz w:val="16"/>
          <w:szCs w:val="16"/>
          <w:color w:val="auto"/>
        </w:rPr>
        <w:t xml:space="preserve"> amount to $427 (2020: $325, 2019: $319) and are recognized as other expenses in profit and loss.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Goods and services were sold or provided parties during the year based on the price lists in force and terms that would be available to third parties.</w:t>
      </w:r>
    </w:p>
    <w:p>
      <w:pPr>
        <w:spacing w:after="0" w:line="19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All outstanding balances with these related parties are priced on an arm’s length basis and are to be settled in cash within two months of the reporting date. None of the balances are secured. No expense has been recognized in the current year or prior year for bad or doubtful debts in respect of amounts owed by related parties.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20" w:type="dxa"/>
            <w:vAlign w:val="bottom"/>
          </w:tcPr>
          <w:p>
            <w:pPr>
              <w:spacing w:after="0"/>
              <w:rPr>
                <w:sz w:val="20"/>
                <w:szCs w:val="20"/>
                <w:color w:val="auto"/>
              </w:rPr>
            </w:pPr>
            <w:r>
              <w:rPr>
                <w:rFonts w:ascii="Arial" w:cs="Arial" w:eastAsia="Arial" w:hAnsi="Arial"/>
                <w:sz w:val="16"/>
                <w:szCs w:val="16"/>
                <w:i w:val="1"/>
                <w:iCs w:val="1"/>
                <w:color w:val="auto"/>
              </w:rPr>
              <w:t>Loans to and from related parties</w:t>
            </w:r>
          </w:p>
        </w:tc>
        <w:tc>
          <w:tcPr>
            <w:tcW w:w="2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8"/>
        </w:trPr>
        <w:tc>
          <w:tcPr>
            <w:tcW w:w="47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Loans to related parties</w:t>
            </w:r>
          </w:p>
        </w:tc>
        <w:tc>
          <w:tcPr>
            <w:tcW w:w="26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4"/>
                <w:szCs w:val="24"/>
                <w:color w:val="auto"/>
              </w:rPr>
            </w:pPr>
          </w:p>
        </w:tc>
      </w:tr>
      <w:tr>
        <w:trPr>
          <w:trHeight w:val="191"/>
        </w:trPr>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January 1</w:t>
            </w:r>
          </w:p>
        </w:tc>
        <w:tc>
          <w:tcPr>
            <w:tcW w:w="26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542</w:t>
            </w:r>
          </w:p>
        </w:tc>
        <w:tc>
          <w:tcPr>
            <w:tcW w:w="120" w:type="dxa"/>
            <w:vAlign w:val="bottom"/>
            <w:shd w:val="clear" w:color="auto" w:fill="CCEEFF"/>
          </w:tcPr>
          <w:p>
            <w:pPr>
              <w:spacing w:after="0"/>
              <w:rPr>
                <w:sz w:val="16"/>
                <w:szCs w:val="16"/>
                <w:color w:val="auto"/>
              </w:rPr>
            </w:pPr>
          </w:p>
        </w:tc>
      </w:tr>
      <w:tr>
        <w:trPr>
          <w:trHeight w:val="191"/>
        </w:trPr>
        <w:tc>
          <w:tcPr>
            <w:tcW w:w="4720" w:type="dxa"/>
            <w:vAlign w:val="bottom"/>
          </w:tcPr>
          <w:p>
            <w:pPr>
              <w:spacing w:after="0"/>
              <w:rPr>
                <w:sz w:val="20"/>
                <w:szCs w:val="20"/>
                <w:color w:val="auto"/>
              </w:rPr>
            </w:pPr>
            <w:r>
              <w:rPr>
                <w:rFonts w:ascii="Arial" w:cs="Arial" w:eastAsia="Arial" w:hAnsi="Arial"/>
                <w:sz w:val="16"/>
                <w:szCs w:val="16"/>
                <w:color w:val="auto"/>
              </w:rPr>
              <w:t>Loans advanced</w:t>
            </w:r>
          </w:p>
        </w:tc>
        <w:tc>
          <w:tcPr>
            <w:tcW w:w="2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289</w:t>
            </w:r>
          </w:p>
        </w:tc>
      </w:tr>
      <w:tr>
        <w:trPr>
          <w:trHeight w:val="223"/>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Loan repayments received</w:t>
            </w:r>
          </w:p>
        </w:tc>
        <w:tc>
          <w:tcPr>
            <w:tcW w:w="2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(332)</w:t>
            </w:r>
          </w:p>
        </w:tc>
      </w:tr>
      <w:tr>
        <w:trPr>
          <w:trHeight w:val="179"/>
        </w:trPr>
        <w:tc>
          <w:tcPr>
            <w:tcW w:w="472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Balance as of December 31</w:t>
            </w:r>
          </w:p>
        </w:tc>
        <w:tc>
          <w:tcPr>
            <w:tcW w:w="260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276</w:t>
            </w:r>
          </w:p>
        </w:tc>
        <w:tc>
          <w:tcPr>
            <w:tcW w:w="24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304</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499</w:t>
            </w:r>
          </w:p>
        </w:tc>
        <w:tc>
          <w:tcPr>
            <w:tcW w:w="120" w:type="dxa"/>
            <w:vAlign w:val="bottom"/>
            <w:tcBorders>
              <w:top w:val="single" w:sz="8" w:color="CCEEFF"/>
            </w:tcBorders>
          </w:tcPr>
          <w:p>
            <w:pPr>
              <w:spacing w:after="0"/>
              <w:rPr>
                <w:sz w:val="15"/>
                <w:szCs w:val="15"/>
                <w:color w:val="auto"/>
              </w:rPr>
            </w:pPr>
          </w:p>
        </w:tc>
      </w:tr>
      <w:tr>
        <w:trPr>
          <w:trHeight w:val="398"/>
        </w:trPr>
        <w:tc>
          <w:tcPr>
            <w:tcW w:w="47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Loans from related parties</w:t>
            </w:r>
          </w:p>
        </w:tc>
        <w:tc>
          <w:tcPr>
            <w:tcW w:w="26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4"/>
                <w:szCs w:val="24"/>
                <w:color w:val="auto"/>
              </w:rPr>
            </w:pPr>
          </w:p>
        </w:tc>
      </w:tr>
      <w:tr>
        <w:trPr>
          <w:trHeight w:val="191"/>
        </w:trPr>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January 1</w:t>
            </w:r>
          </w:p>
        </w:tc>
        <w:tc>
          <w:tcPr>
            <w:tcW w:w="26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15,844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20,963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24,557</w:t>
            </w:r>
          </w:p>
        </w:tc>
        <w:tc>
          <w:tcPr>
            <w:tcW w:w="120" w:type="dxa"/>
            <w:vAlign w:val="bottom"/>
            <w:shd w:val="clear" w:color="auto" w:fill="CCEEFF"/>
          </w:tcPr>
          <w:p>
            <w:pPr>
              <w:spacing w:after="0"/>
              <w:rPr>
                <w:sz w:val="16"/>
                <w:szCs w:val="16"/>
                <w:color w:val="auto"/>
              </w:rPr>
            </w:pPr>
          </w:p>
        </w:tc>
      </w:tr>
      <w:tr>
        <w:trPr>
          <w:trHeight w:val="191"/>
        </w:trPr>
        <w:tc>
          <w:tcPr>
            <w:tcW w:w="4720" w:type="dxa"/>
            <w:vAlign w:val="bottom"/>
          </w:tcPr>
          <w:p>
            <w:pPr>
              <w:spacing w:after="0"/>
              <w:rPr>
                <w:sz w:val="20"/>
                <w:szCs w:val="20"/>
                <w:color w:val="auto"/>
              </w:rPr>
            </w:pPr>
            <w:r>
              <w:rPr>
                <w:rFonts w:ascii="Arial" w:cs="Arial" w:eastAsia="Arial" w:hAnsi="Arial"/>
                <w:sz w:val="16"/>
                <w:szCs w:val="16"/>
                <w:color w:val="auto"/>
              </w:rPr>
              <w:t>Loans advanced</w:t>
            </w:r>
          </w:p>
        </w:tc>
        <w:tc>
          <w:tcPr>
            <w:tcW w:w="2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Loan repayments</w:t>
            </w:r>
          </w:p>
        </w:tc>
        <w:tc>
          <w:tcPr>
            <w:tcW w:w="2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(9,154)</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(5,856)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(4,570)</w:t>
            </w:r>
          </w:p>
        </w:tc>
      </w:tr>
      <w:tr>
        <w:trPr>
          <w:trHeight w:val="207"/>
        </w:trPr>
        <w:tc>
          <w:tcPr>
            <w:tcW w:w="4720" w:type="dxa"/>
            <w:vAlign w:val="bottom"/>
          </w:tcPr>
          <w:p>
            <w:pPr>
              <w:spacing w:after="0"/>
              <w:rPr>
                <w:sz w:val="20"/>
                <w:szCs w:val="20"/>
                <w:color w:val="auto"/>
              </w:rPr>
            </w:pPr>
            <w:r>
              <w:rPr>
                <w:rFonts w:ascii="Arial" w:cs="Arial" w:eastAsia="Arial" w:hAnsi="Arial"/>
                <w:sz w:val="16"/>
                <w:szCs w:val="16"/>
                <w:color w:val="auto"/>
              </w:rPr>
              <w:t>Interest accrued</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425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705</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976</w:t>
            </w:r>
          </w:p>
        </w:tc>
      </w:tr>
      <w:tr>
        <w:trPr>
          <w:trHeight w:val="195"/>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w:t>
            </w:r>
          </w:p>
        </w:tc>
        <w:tc>
          <w:tcPr>
            <w:tcW w:w="26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7,115</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15,844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20,963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loans to and from related parties are repayable between one year from the reporting date. The average interest rate on the loans during the year was 6% (2020: 6%).</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Outstanding balances are unsecured and are repayable in cash. No loss allowance was recognized in expense in 2021 or 2020.</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Put option agreements with IFC and Hoche for the right to put back all or some of the ordinary shares they held in Crynssen was presented as a separate financial liability, until the effectiveness of the Transaction, even though both are related parties. See Note 19. Borrowings for further detail.</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Transactions with directors and executive board management members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Total management compensation included in the consolidated statement of profit or loss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080" w:type="dxa"/>
            <w:vAlign w:val="bottom"/>
            <w:gridSpan w:val="4"/>
          </w:tcPr>
          <w:p>
            <w:pPr>
              <w:jc w:val="right"/>
              <w:ind w:right="144"/>
              <w:spacing w:after="0"/>
              <w:rPr>
                <w:sz w:val="20"/>
                <w:szCs w:val="20"/>
                <w:color w:val="auto"/>
              </w:rPr>
            </w:pPr>
            <w:r>
              <w:rPr>
                <w:rFonts w:ascii="Arial" w:cs="Arial" w:eastAsia="Arial" w:hAnsi="Arial"/>
                <w:sz w:val="16"/>
                <w:szCs w:val="16"/>
                <w:b w:val="1"/>
                <w:bCs w:val="1"/>
                <w:color w:val="auto"/>
              </w:rPr>
              <w:t>For the year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36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3680" w:type="dxa"/>
            <w:vAlign w:val="bottom"/>
            <w:tcBorders>
              <w:bottom w:val="single" w:sz="8" w:color="CCEEFF"/>
            </w:tcBorders>
          </w:tcPr>
          <w:p>
            <w:pPr>
              <w:spacing w:after="0"/>
              <w:rPr>
                <w:sz w:val="18"/>
                <w:szCs w:val="18"/>
                <w:color w:val="auto"/>
              </w:rPr>
            </w:pPr>
          </w:p>
        </w:tc>
        <w:tc>
          <w:tcPr>
            <w:tcW w:w="50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191"/>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Short-term employee benefits</w:t>
            </w:r>
          </w:p>
        </w:tc>
        <w:tc>
          <w:tcPr>
            <w:tcW w:w="50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3,359</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2,617</w:t>
            </w:r>
          </w:p>
        </w:tc>
        <w:tc>
          <w:tcPr>
            <w:tcW w:w="120" w:type="dxa"/>
            <w:vAlign w:val="bottom"/>
            <w:shd w:val="clear" w:color="auto" w:fill="CCEEFF"/>
          </w:tcPr>
          <w:p>
            <w:pPr>
              <w:spacing w:after="0"/>
              <w:rPr>
                <w:sz w:val="16"/>
                <w:szCs w:val="16"/>
                <w:color w:val="auto"/>
              </w:rPr>
            </w:pPr>
          </w:p>
        </w:tc>
      </w:tr>
      <w:tr>
        <w:trPr>
          <w:trHeight w:val="207"/>
        </w:trPr>
        <w:tc>
          <w:tcPr>
            <w:tcW w:w="3680" w:type="dxa"/>
            <w:vAlign w:val="bottom"/>
          </w:tcPr>
          <w:p>
            <w:pPr>
              <w:spacing w:after="0"/>
              <w:rPr>
                <w:sz w:val="20"/>
                <w:szCs w:val="20"/>
                <w:color w:val="auto"/>
              </w:rPr>
            </w:pPr>
            <w:r>
              <w:rPr>
                <w:rFonts w:ascii="Arial" w:cs="Arial" w:eastAsia="Arial" w:hAnsi="Arial"/>
                <w:sz w:val="16"/>
                <w:szCs w:val="16"/>
                <w:color w:val="auto"/>
              </w:rPr>
              <w:t>Consulting fees</w:t>
            </w:r>
          </w:p>
        </w:tc>
        <w:tc>
          <w:tcPr>
            <w:tcW w:w="5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6"/>
                <w:szCs w:val="16"/>
                <w:color w:val="auto"/>
              </w:rPr>
              <w:t>1,912</w:t>
            </w:r>
          </w:p>
        </w:tc>
        <w:tc>
          <w:tcPr>
            <w:tcW w:w="7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r>
      <w:tr>
        <w:trPr>
          <w:trHeight w:val="195"/>
        </w:trPr>
        <w:tc>
          <w:tcPr>
            <w:tcW w:w="3680" w:type="dxa"/>
            <w:vAlign w:val="bottom"/>
            <w:tcBorders>
              <w:top w:val="single" w:sz="8" w:color="CCEEFF"/>
              <w:bottom w:val="single" w:sz="8" w:color="CCEEFF"/>
            </w:tcBorders>
            <w:shd w:val="clear" w:color="auto" w:fill="CCEEFF"/>
          </w:tcPr>
          <w:p>
            <w:pPr>
              <w:spacing w:after="0"/>
              <w:rPr>
                <w:sz w:val="16"/>
                <w:szCs w:val="16"/>
                <w:color w:val="auto"/>
              </w:rPr>
            </w:pPr>
          </w:p>
        </w:tc>
        <w:tc>
          <w:tcPr>
            <w:tcW w:w="500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83"/>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4"/>
              </w:rPr>
              <w:t>5,271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2,717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577"/>
        </w:trPr>
        <w:tc>
          <w:tcPr>
            <w:tcW w:w="368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2"/>
          </w:tcPr>
          <w:p>
            <w:pPr>
              <w:jc w:val="right"/>
              <w:ind w:right="3563"/>
              <w:spacing w:after="0"/>
              <w:rPr>
                <w:sz w:val="20"/>
                <w:szCs w:val="20"/>
                <w:color w:val="auto"/>
              </w:rPr>
            </w:pPr>
            <w:r>
              <w:rPr>
                <w:rFonts w:ascii="Arial" w:cs="Arial" w:eastAsia="Arial" w:hAnsi="Arial"/>
                <w:sz w:val="16"/>
                <w:szCs w:val="16"/>
                <w:color w:val="auto"/>
              </w:rPr>
              <w:t>F-79</w:t>
            </w: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2" w:right="319" w:bottom="1440" w:gutter="0" w:footer="0" w:header="0"/>
        </w:sectPr>
      </w:pPr>
    </w:p>
    <w:bookmarkStart w:id="204" w:name="page205"/>
    <w:bookmarkEnd w:id="204"/>
    <w:p>
      <w:pPr>
        <w:jc w:val="right"/>
        <w:spacing w:after="0"/>
        <w:rPr>
          <w:sz w:val="20"/>
          <w:szCs w:val="20"/>
          <w:color w:val="auto"/>
        </w:rPr>
      </w:pPr>
      <w:r>
        <w:rPr>
          <w:rFonts w:ascii="Arial" w:cs="Arial" w:eastAsia="Arial" w:hAnsi="Arial"/>
          <w:sz w:val="19"/>
          <w:szCs w:val="19"/>
          <w:b w:val="1"/>
          <w:bCs w:val="1"/>
          <w:color w:val="auto"/>
        </w:rPr>
        <w:t>Exhibit 12.1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 Ruben Minski, certify that:</w:t>
      </w:r>
    </w:p>
    <w:p>
      <w:pPr>
        <w:spacing w:after="0" w:line="198" w:lineRule="exact"/>
        <w:rPr>
          <w:sz w:val="20"/>
          <w:szCs w:val="20"/>
          <w:color w:val="auto"/>
        </w:rPr>
      </w:pPr>
    </w:p>
    <w:p>
      <w:pPr>
        <w:ind w:left="720" w:hanging="151"/>
        <w:spacing w:after="0"/>
        <w:tabs>
          <w:tab w:leader="none" w:pos="7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Procaps Group, S.A.;</w:t>
      </w:r>
    </w:p>
    <w:p>
      <w:pPr>
        <w:spacing w:after="0" w:line="198" w:lineRule="exact"/>
        <w:rPr>
          <w:rFonts w:ascii="Arial" w:cs="Arial" w:eastAsia="Arial" w:hAnsi="Arial"/>
          <w:sz w:val="16"/>
          <w:szCs w:val="16"/>
          <w:color w:val="auto"/>
        </w:rPr>
      </w:pPr>
    </w:p>
    <w:p>
      <w:pPr>
        <w:ind w:firstLine="569"/>
        <w:spacing w:after="0" w:line="275" w:lineRule="auto"/>
        <w:tabs>
          <w:tab w:leader="none" w:pos="73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right="20" w:firstLine="569"/>
        <w:spacing w:after="0" w:line="275" w:lineRule="auto"/>
        <w:tabs>
          <w:tab w:leader="none" w:pos="7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1" w:lineRule="exact"/>
        <w:rPr>
          <w:rFonts w:ascii="Arial" w:cs="Arial" w:eastAsia="Arial" w:hAnsi="Arial"/>
          <w:sz w:val="16"/>
          <w:szCs w:val="16"/>
          <w:color w:val="auto"/>
        </w:rPr>
      </w:pPr>
    </w:p>
    <w:p>
      <w:pPr>
        <w:ind w:right="20" w:firstLine="569"/>
        <w:spacing w:after="0" w:line="275" w:lineRule="auto"/>
        <w:tabs>
          <w:tab w:leader="none" w:pos="75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51" w:lineRule="exact"/>
        <w:rPr>
          <w:rFonts w:ascii="Arial" w:cs="Arial" w:eastAsia="Arial" w:hAnsi="Arial"/>
          <w:sz w:val="16"/>
          <w:szCs w:val="16"/>
          <w:color w:val="auto"/>
        </w:rPr>
      </w:pPr>
    </w:p>
    <w:p>
      <w:pPr>
        <w:jc w:val="both"/>
        <w:ind w:left="1420" w:right="20" w:hanging="277"/>
        <w:spacing w:after="0" w:line="262" w:lineRule="auto"/>
        <w:tabs>
          <w:tab w:leader="none" w:pos="142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ind w:left="1420" w:hanging="277"/>
        <w:spacing w:after="0"/>
        <w:tabs>
          <w:tab w:leader="none" w:pos="142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[Intentionally omitted];</w:t>
      </w:r>
    </w:p>
    <w:p>
      <w:pPr>
        <w:spacing w:after="0" w:line="198" w:lineRule="exact"/>
        <w:rPr>
          <w:rFonts w:ascii="Arial" w:cs="Arial" w:eastAsia="Arial" w:hAnsi="Arial"/>
          <w:sz w:val="16"/>
          <w:szCs w:val="16"/>
          <w:color w:val="auto"/>
        </w:rPr>
      </w:pPr>
    </w:p>
    <w:p>
      <w:pPr>
        <w:ind w:left="1420" w:right="20" w:hanging="277"/>
        <w:spacing w:after="0" w:line="275" w:lineRule="auto"/>
        <w:tabs>
          <w:tab w:leader="none" w:pos="142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1420" w:right="20" w:hanging="277"/>
        <w:spacing w:after="0" w:line="309" w:lineRule="auto"/>
        <w:tabs>
          <w:tab w:leader="none" w:pos="1420" w:val="left"/>
        </w:tabs>
        <w:numPr>
          <w:ilvl w:val="1"/>
          <w:numId w:val="121"/>
        </w:numPr>
        <w:rPr>
          <w:rFonts w:ascii="Arial" w:cs="Arial" w:eastAsia="Arial" w:hAnsi="Arial"/>
          <w:sz w:val="15"/>
          <w:szCs w:val="15"/>
          <w:color w:val="auto"/>
        </w:rPr>
      </w:pPr>
      <w:r>
        <w:rPr>
          <w:rFonts w:ascii="Arial" w:cs="Arial" w:eastAsia="Arial" w:hAnsi="Arial"/>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9" w:lineRule="exact"/>
        <w:rPr>
          <w:rFonts w:ascii="Arial" w:cs="Arial" w:eastAsia="Arial" w:hAnsi="Arial"/>
          <w:sz w:val="15"/>
          <w:szCs w:val="15"/>
          <w:color w:val="auto"/>
        </w:rPr>
      </w:pPr>
    </w:p>
    <w:p>
      <w:pPr>
        <w:ind w:right="20" w:firstLine="569"/>
        <w:spacing w:after="0" w:line="275" w:lineRule="auto"/>
        <w:tabs>
          <w:tab w:leader="none" w:pos="74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1" w:lineRule="exact"/>
        <w:rPr>
          <w:rFonts w:ascii="Arial" w:cs="Arial" w:eastAsia="Arial" w:hAnsi="Arial"/>
          <w:sz w:val="16"/>
          <w:szCs w:val="16"/>
          <w:color w:val="auto"/>
        </w:rPr>
      </w:pPr>
    </w:p>
    <w:p>
      <w:pPr>
        <w:ind w:left="1420" w:hanging="277"/>
        <w:spacing w:after="0" w:line="275" w:lineRule="auto"/>
        <w:tabs>
          <w:tab w:leader="none" w:pos="142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1" w:lineRule="exact"/>
        <w:rPr>
          <w:rFonts w:ascii="Arial" w:cs="Arial" w:eastAsia="Arial" w:hAnsi="Arial"/>
          <w:sz w:val="16"/>
          <w:szCs w:val="16"/>
          <w:color w:val="auto"/>
        </w:rPr>
      </w:pPr>
    </w:p>
    <w:p>
      <w:pPr>
        <w:ind w:left="1420" w:right="20" w:hanging="277"/>
        <w:spacing w:after="0" w:line="275" w:lineRule="auto"/>
        <w:tabs>
          <w:tab w:leader="none" w:pos="142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52" w:lineRule="exact"/>
        <w:rPr>
          <w:sz w:val="20"/>
          <w:szCs w:val="20"/>
          <w:color w:val="auto"/>
        </w:rPr>
      </w:pPr>
    </w:p>
    <w:tbl>
      <w:tblPr>
        <w:tblLayout w:type="fixed"/>
        <w:tblInd w:w="6760" w:type="dxa"/>
        <w:tblCellMar>
          <w:top w:w="0" w:type="dxa"/>
          <w:left w:w="0" w:type="dxa"/>
          <w:bottom w:w="0" w:type="dxa"/>
          <w:right w:w="0" w:type="dxa"/>
        </w:tblCellMar>
      </w:tblPr>
      <w:tr>
        <w:trPr>
          <w:trHeight w:val="220"/>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Ruben Minski</w:t>
            </w:r>
          </w:p>
        </w:tc>
      </w:tr>
      <w:tr>
        <w:trPr>
          <w:trHeight w:val="179"/>
        </w:trPr>
        <w:tc>
          <w:tcPr>
            <w:tcW w:w="56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Ruben Minski</w:t>
            </w: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Dated: May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194945</wp:posOffset>
            </wp:positionV>
            <wp:extent cx="714819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05" w:name="page206"/>
    <w:bookmarkEnd w:id="205"/>
    <w:p>
      <w:pPr>
        <w:jc w:val="right"/>
        <w:spacing w:after="0"/>
        <w:rPr>
          <w:sz w:val="20"/>
          <w:szCs w:val="20"/>
          <w:color w:val="auto"/>
        </w:rPr>
      </w:pPr>
      <w:r>
        <w:rPr>
          <w:rFonts w:ascii="Arial" w:cs="Arial" w:eastAsia="Arial" w:hAnsi="Arial"/>
          <w:sz w:val="16"/>
          <w:szCs w:val="16"/>
          <w:b w:val="1"/>
          <w:bCs w:val="1"/>
          <w:color w:val="auto"/>
        </w:rPr>
        <w:t>Exhibit 12.2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 Patricio Vargas Muñoz, certify that:</w:t>
      </w:r>
    </w:p>
    <w:p>
      <w:pPr>
        <w:spacing w:after="0" w:line="198" w:lineRule="exact"/>
        <w:rPr>
          <w:sz w:val="20"/>
          <w:szCs w:val="20"/>
          <w:color w:val="auto"/>
        </w:rPr>
      </w:pPr>
    </w:p>
    <w:p>
      <w:pPr>
        <w:ind w:left="720" w:hanging="151"/>
        <w:spacing w:after="0"/>
        <w:tabs>
          <w:tab w:leader="none" w:pos="7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Procaps Group, S.A.;</w:t>
      </w:r>
    </w:p>
    <w:p>
      <w:pPr>
        <w:spacing w:after="0" w:line="198" w:lineRule="exact"/>
        <w:rPr>
          <w:rFonts w:ascii="Arial" w:cs="Arial" w:eastAsia="Arial" w:hAnsi="Arial"/>
          <w:sz w:val="16"/>
          <w:szCs w:val="16"/>
          <w:color w:val="auto"/>
        </w:rPr>
      </w:pPr>
    </w:p>
    <w:p>
      <w:pPr>
        <w:ind w:firstLine="569"/>
        <w:spacing w:after="0" w:line="275" w:lineRule="auto"/>
        <w:tabs>
          <w:tab w:leader="none" w:pos="73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right="20" w:firstLine="569"/>
        <w:spacing w:after="0" w:line="275" w:lineRule="auto"/>
        <w:tabs>
          <w:tab w:leader="none" w:pos="7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1" w:lineRule="exact"/>
        <w:rPr>
          <w:rFonts w:ascii="Arial" w:cs="Arial" w:eastAsia="Arial" w:hAnsi="Arial"/>
          <w:sz w:val="16"/>
          <w:szCs w:val="16"/>
          <w:color w:val="auto"/>
        </w:rPr>
      </w:pPr>
    </w:p>
    <w:p>
      <w:pPr>
        <w:ind w:right="20" w:firstLine="569"/>
        <w:spacing w:after="0" w:line="275" w:lineRule="auto"/>
        <w:tabs>
          <w:tab w:leader="none" w:pos="75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51" w:lineRule="exact"/>
        <w:rPr>
          <w:rFonts w:ascii="Arial" w:cs="Arial" w:eastAsia="Arial" w:hAnsi="Arial"/>
          <w:sz w:val="16"/>
          <w:szCs w:val="16"/>
          <w:color w:val="auto"/>
        </w:rPr>
      </w:pPr>
    </w:p>
    <w:p>
      <w:pPr>
        <w:jc w:val="both"/>
        <w:ind w:left="1420" w:right="20" w:hanging="277"/>
        <w:spacing w:after="0" w:line="262" w:lineRule="auto"/>
        <w:tabs>
          <w:tab w:leader="none" w:pos="14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ind w:left="1420" w:hanging="277"/>
        <w:spacing w:after="0"/>
        <w:tabs>
          <w:tab w:leader="none" w:pos="14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[Intentionally omitted];</w:t>
      </w:r>
    </w:p>
    <w:p>
      <w:pPr>
        <w:spacing w:after="0" w:line="198" w:lineRule="exact"/>
        <w:rPr>
          <w:rFonts w:ascii="Arial" w:cs="Arial" w:eastAsia="Arial" w:hAnsi="Arial"/>
          <w:sz w:val="16"/>
          <w:szCs w:val="16"/>
          <w:color w:val="auto"/>
        </w:rPr>
      </w:pPr>
    </w:p>
    <w:p>
      <w:pPr>
        <w:ind w:left="1420" w:right="20" w:hanging="277"/>
        <w:spacing w:after="0" w:line="275" w:lineRule="auto"/>
        <w:tabs>
          <w:tab w:leader="none" w:pos="14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1420" w:right="20" w:hanging="277"/>
        <w:spacing w:after="0" w:line="309" w:lineRule="auto"/>
        <w:tabs>
          <w:tab w:leader="none" w:pos="142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9" w:lineRule="exact"/>
        <w:rPr>
          <w:rFonts w:ascii="Arial" w:cs="Arial" w:eastAsia="Arial" w:hAnsi="Arial"/>
          <w:sz w:val="15"/>
          <w:szCs w:val="15"/>
          <w:color w:val="auto"/>
        </w:rPr>
      </w:pPr>
    </w:p>
    <w:p>
      <w:pPr>
        <w:ind w:right="20" w:firstLine="569"/>
        <w:spacing w:after="0" w:line="275" w:lineRule="auto"/>
        <w:tabs>
          <w:tab w:leader="none" w:pos="74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1" w:lineRule="exact"/>
        <w:rPr>
          <w:rFonts w:ascii="Arial" w:cs="Arial" w:eastAsia="Arial" w:hAnsi="Arial"/>
          <w:sz w:val="16"/>
          <w:szCs w:val="16"/>
          <w:color w:val="auto"/>
        </w:rPr>
      </w:pPr>
    </w:p>
    <w:p>
      <w:pPr>
        <w:ind w:left="1420" w:hanging="277"/>
        <w:spacing w:after="0" w:line="275" w:lineRule="auto"/>
        <w:tabs>
          <w:tab w:leader="none" w:pos="14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1" w:lineRule="exact"/>
        <w:rPr>
          <w:rFonts w:ascii="Arial" w:cs="Arial" w:eastAsia="Arial" w:hAnsi="Arial"/>
          <w:sz w:val="16"/>
          <w:szCs w:val="16"/>
          <w:color w:val="auto"/>
        </w:rPr>
      </w:pPr>
    </w:p>
    <w:p>
      <w:pPr>
        <w:ind w:left="1420" w:right="20" w:hanging="277"/>
        <w:spacing w:after="0" w:line="275" w:lineRule="auto"/>
        <w:tabs>
          <w:tab w:leader="none" w:pos="14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7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Patricio Vargas Muñoz</w:t>
      </w:r>
    </w:p>
    <w:p>
      <w:pPr>
        <w:spacing w:after="0" w:line="3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Patricio Vargas Muñoz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-115570</wp:posOffset>
            </wp:positionV>
            <wp:extent cx="2496820"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2"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6"/>
          <w:szCs w:val="16"/>
          <w:color w:val="auto"/>
        </w:rPr>
        <w:t>Title:</w:t>
        <w:tab/>
        <w:t>Chief Financial Officer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Dated: May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194945</wp:posOffset>
            </wp:positionV>
            <wp:extent cx="714819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06" w:name="page207"/>
    <w:bookmarkEnd w:id="206"/>
    <w:p>
      <w:pPr>
        <w:jc w:val="right"/>
        <w:spacing w:after="0"/>
        <w:rPr>
          <w:sz w:val="20"/>
          <w:szCs w:val="20"/>
          <w:color w:val="auto"/>
        </w:rPr>
      </w:pPr>
      <w:r>
        <w:rPr>
          <w:rFonts w:ascii="Arial" w:cs="Arial" w:eastAsia="Arial" w:hAnsi="Arial"/>
          <w:sz w:val="19"/>
          <w:szCs w:val="19"/>
          <w:b w:val="1"/>
          <w:bCs w:val="1"/>
          <w:color w:val="auto"/>
        </w:rPr>
        <w:t>Exhibit 13.1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U.S. SARBANES-OXLEY ACT OF 2002</w:t>
      </w:r>
    </w:p>
    <w:p>
      <w:pPr>
        <w:spacing w:after="0" w:line="186"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In connection with the Annual Report of Procaps Group, S.A. (the “Company”) on Form 20-F for the fiscal year ended December 31, 2021, as filed with the U.S. Securities and Exchange Commission (the “Report”), I, Ruben Minski, Chief Executive Officer, certify, pursuant to 18 U.S.C. section 1350, as adopted pursuant to section 906 of the U.S. Sarbanes-Oxley Act of 2002, that to the best of my knowledge:</w:t>
      </w:r>
    </w:p>
    <w:p>
      <w:pPr>
        <w:spacing w:after="0" w:line="162" w:lineRule="exact"/>
        <w:rPr>
          <w:sz w:val="20"/>
          <w:szCs w:val="20"/>
          <w:color w:val="auto"/>
        </w:rPr>
      </w:pPr>
    </w:p>
    <w:p>
      <w:pPr>
        <w:ind w:left="1620" w:hanging="190"/>
        <w:spacing w:after="0"/>
        <w:tabs>
          <w:tab w:leader="none" w:pos="16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U.S. Securities Exchange Act of 1934; and</w:t>
      </w:r>
    </w:p>
    <w:p>
      <w:pPr>
        <w:spacing w:after="0" w:line="198" w:lineRule="exact"/>
        <w:rPr>
          <w:rFonts w:ascii="Arial" w:cs="Arial" w:eastAsia="Arial" w:hAnsi="Arial"/>
          <w:sz w:val="16"/>
          <w:szCs w:val="16"/>
          <w:color w:val="auto"/>
        </w:rPr>
      </w:pPr>
    </w:p>
    <w:p>
      <w:pPr>
        <w:ind w:left="1660" w:hanging="230"/>
        <w:spacing w:after="0"/>
        <w:tabs>
          <w:tab w:leader="none" w:pos="16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 Ruben Minski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286067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Ruben Minski</w:t>
      </w:r>
    </w:p>
    <w:p>
      <w:pPr>
        <w:spacing w:after="0" w:line="2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Title:</w:t>
        <w:tab/>
        <w:t>Chief Executive Officer</w:t>
      </w:r>
    </w:p>
    <w:p>
      <w:pPr>
        <w:spacing w:after="0" w:line="7"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Date:</w:t>
        <w:tab/>
        <w:t>May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714819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07" w:name="page208"/>
    <w:bookmarkEnd w:id="207"/>
    <w:p>
      <w:pPr>
        <w:jc w:val="right"/>
        <w:spacing w:after="0"/>
        <w:rPr>
          <w:sz w:val="20"/>
          <w:szCs w:val="20"/>
          <w:color w:val="auto"/>
        </w:rPr>
      </w:pPr>
      <w:r>
        <w:rPr>
          <w:rFonts w:ascii="Arial" w:cs="Arial" w:eastAsia="Arial" w:hAnsi="Arial"/>
          <w:sz w:val="16"/>
          <w:szCs w:val="16"/>
          <w:b w:val="1"/>
          <w:bCs w:val="1"/>
          <w:color w:val="auto"/>
        </w:rPr>
        <w:t>Exhibit 13.2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U.S. SARBANES-OXLEY ACT OF 2002</w:t>
      </w:r>
    </w:p>
    <w:p>
      <w:pPr>
        <w:spacing w:after="0" w:line="186"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In connection with the Annual Report of Procaps Group, S.A. (the “Company”) on Form 20-F for the fiscal year ended December 31, 2021, as filed with the U.S. Securities and Exchange Commission (the “Report”), I, Patricio Vargas Muñoz, Chief Financial Officer, certify, pursuant to 18 U.S.C. section 1350, as adopted pursuant to section 906 of the U.S. Sarbanes-Oxley Act of 2002, that to the best of my knowledge:</w:t>
      </w:r>
    </w:p>
    <w:p>
      <w:pPr>
        <w:spacing w:after="0" w:line="162" w:lineRule="exact"/>
        <w:rPr>
          <w:sz w:val="20"/>
          <w:szCs w:val="20"/>
          <w:color w:val="auto"/>
        </w:rPr>
      </w:pPr>
    </w:p>
    <w:p>
      <w:pPr>
        <w:ind w:left="1620" w:hanging="190"/>
        <w:spacing w:after="0"/>
        <w:tabs>
          <w:tab w:leader="none" w:pos="16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U.S. Securities Exchange Act of 1934; and</w:t>
      </w:r>
    </w:p>
    <w:p>
      <w:pPr>
        <w:spacing w:after="0" w:line="198" w:lineRule="exact"/>
        <w:rPr>
          <w:rFonts w:ascii="Arial" w:cs="Arial" w:eastAsia="Arial" w:hAnsi="Arial"/>
          <w:sz w:val="16"/>
          <w:szCs w:val="16"/>
          <w:color w:val="auto"/>
        </w:rPr>
      </w:pPr>
    </w:p>
    <w:p>
      <w:pPr>
        <w:ind w:left="1660" w:hanging="230"/>
        <w:spacing w:after="0"/>
        <w:tabs>
          <w:tab w:leader="none" w:pos="16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 Patricio Vargas Muñoz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286067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Patricio Vargas Muñoz</w:t>
      </w:r>
    </w:p>
    <w:p>
      <w:pPr>
        <w:spacing w:after="0" w:line="2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Title:</w:t>
        <w:tab/>
        <w:t>Chief Financial Officer</w:t>
      </w:r>
    </w:p>
    <w:p>
      <w:pPr>
        <w:spacing w:after="0" w:line="7"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Date:</w:t>
        <w:tab/>
        <w:t>May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714819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sectPr>
      <w:pgSz w:w="11900" w:h="16838" w:orient="portrait"/>
      <w:cols w:equalWidth="0" w:num="1">
        <w:col w:w="11260"/>
      </w:cols>
      <w:pgMar w:left="32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1)"/>
      <w:numFmt w:val="decimal"/>
      <w:start w:val="1"/>
    </w:lvl>
  </w:abstractNum>
  <w:abstractNum w:abstractNumId="7">
    <w:nsid w:val="1DBABF00"/>
    <w:multiLevelType w:val="hybridMultilevel"/>
    <w:lvl w:ilvl="0">
      <w:lvlJc w:val="left"/>
      <w:lvlText w:val="(%1)"/>
      <w:numFmt w:val="lowerRoman"/>
      <w:start w:val="3"/>
    </w:lvl>
  </w:abstractNum>
  <w:abstractNum w:abstractNumId="8">
    <w:nsid w:val="4AD084E9"/>
    <w:multiLevelType w:val="hybridMultilevel"/>
    <w:lvl w:ilvl="0">
      <w:lvlJc w:val="left"/>
      <w:lvlText w:val="(%1)"/>
      <w:numFmt w:val="lowerRoman"/>
      <w:start w:val="5"/>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1)"/>
      <w:numFmt w:val="lowerRoman"/>
      <w:start w:val="1"/>
    </w:lvl>
  </w:abstractNum>
  <w:abstractNum w:abstractNumId="19">
    <w:nsid w:val="42C296BD"/>
    <w:multiLevelType w:val="hybridMultilevel"/>
    <w:lvl w:ilvl="0">
      <w:lvlJc w:val="left"/>
      <w:lvlText w:val="(%1)"/>
      <w:numFmt w:val="lowerRoman"/>
      <w:start w:val="4"/>
    </w:lvl>
  </w:abstractNum>
  <w:abstractNum w:abstractNumId="20">
    <w:nsid w:val="168E121F"/>
    <w:multiLevelType w:val="hybridMultilevel"/>
    <w:lvl w:ilvl="0">
      <w:lvlJc w:val="left"/>
      <w:lvlText w:val="(%1)"/>
      <w:numFmt w:val="decimal"/>
      <w:start w:val="1"/>
    </w:lvl>
  </w:abstractNum>
  <w:abstractNum w:abstractNumId="21">
    <w:nsid w:val="1EBA5D23"/>
    <w:multiLevelType w:val="hybridMultilevel"/>
    <w:lvl w:ilvl="0">
      <w:lvlJc w:val="left"/>
      <w:lvlText w:val="\emdash "/>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1)"/>
      <w:numFmt w:val="lowerRoman"/>
      <w:start w:val="1"/>
    </w:lvl>
  </w:abstractNum>
  <w:abstractNum w:abstractNumId="25">
    <w:nsid w:val="7BD3EE7B"/>
    <w:multiLevelType w:val="hybridMultilevel"/>
    <w:lvl w:ilvl="0">
      <w:lvlJc w:val="left"/>
      <w:lvlText w:val="(%1)"/>
      <w:numFmt w:val="decimal"/>
      <w:start w:val="1"/>
    </w:lvl>
  </w:abstractNum>
  <w:abstractNum w:abstractNumId="26">
    <w:nsid w:val="51D9C564"/>
    <w:multiLevelType w:val="hybridMultilevel"/>
    <w:lvl w:ilvl="0">
      <w:lvlJc w:val="left"/>
      <w:lvlText w:val="(%1)"/>
      <w:numFmt w:val="decimal"/>
      <w:start w:val="1"/>
    </w:lvl>
  </w:abstractNum>
  <w:abstractNum w:abstractNumId="27">
    <w:nsid w:val="613EFDC5"/>
    <w:multiLevelType w:val="hybridMultilevel"/>
    <w:lvl w:ilvl="0">
      <w:lvlJc w:val="left"/>
      <w:lvlText w:val="(%1)"/>
      <w:numFmt w:val="decimal"/>
      <w:start w:val="1"/>
    </w:lvl>
  </w:abstractNum>
  <w:abstractNum w:abstractNumId="28">
    <w:nsid w:val="BF72B14"/>
    <w:multiLevelType w:val="hybridMultilevel"/>
    <w:lvl w:ilvl="0">
      <w:lvlJc w:val="left"/>
      <w:lvlText w:val="(%1)"/>
      <w:numFmt w:val="decimal"/>
      <w:start w:val="1"/>
    </w:lvl>
  </w:abstractNum>
  <w:abstractNum w:abstractNumId="29">
    <w:nsid w:val="11447B73"/>
    <w:multiLevelType w:val="hybridMultilevel"/>
    <w:lvl w:ilvl="0">
      <w:lvlJc w:val="left"/>
      <w:lvlText w:val="(%1)"/>
      <w:numFmt w:val="decimal"/>
      <w:start w:val="1"/>
    </w:lvl>
  </w:abstractNum>
  <w:abstractNum w:abstractNumId="30">
    <w:nsid w:val="42963E5A"/>
    <w:multiLevelType w:val="hybridMultilevel"/>
    <w:lvl w:ilvl="0">
      <w:lvlJc w:val="left"/>
      <w:lvlText w:val="(%1)"/>
      <w:numFmt w:val="decimal"/>
      <w:start w:val="2"/>
    </w:lvl>
  </w:abstractNum>
  <w:abstractNum w:abstractNumId="31">
    <w:nsid w:val="A0382C5"/>
    <w:multiLevelType w:val="hybridMultilevel"/>
    <w:lvl w:ilvl="0">
      <w:lvlJc w:val="left"/>
      <w:lvlText w:val="(%1)"/>
      <w:numFmt w:val="decimal"/>
      <w:start w:val="1"/>
    </w:lvl>
  </w:abstractNum>
  <w:abstractNum w:abstractNumId="32">
    <w:nsid w:val="8F2B15E"/>
    <w:multiLevelType w:val="hybridMultilevel"/>
    <w:lvl w:ilvl="0">
      <w:lvlJc w:val="left"/>
      <w:lvlText w:val="(%1)"/>
      <w:numFmt w:val="decimal"/>
      <w:start w:val="2"/>
    </w:lvl>
  </w:abstractNum>
  <w:abstractNum w:abstractNumId="33">
    <w:nsid w:val="1A32234B"/>
    <w:multiLevelType w:val="hybridMultilevel"/>
    <w:lvl w:ilvl="0">
      <w:lvlJc w:val="left"/>
      <w:lvlText w:val="(%1)"/>
      <w:numFmt w:val="decimal"/>
      <w:start w:val="1"/>
    </w:lvl>
  </w:abstractNum>
  <w:abstractNum w:abstractNumId="34">
    <w:nsid w:val="3B0FD379"/>
    <w:multiLevelType w:val="hybridMultilevel"/>
    <w:lvl w:ilvl="0">
      <w:lvlJc w:val="left"/>
      <w:lvlText w:val="(%1)"/>
      <w:numFmt w:val="decimal"/>
      <w:start w:val="1"/>
    </w:lvl>
  </w:abstractNum>
  <w:abstractNum w:abstractNumId="35">
    <w:nsid w:val="68EB2F63"/>
    <w:multiLevelType w:val="hybridMultilevel"/>
    <w:lvl w:ilvl="0">
      <w:lvlJc w:val="left"/>
      <w:lvlText w:val="(%1)"/>
      <w:numFmt w:val="lowerRoman"/>
      <w:start w:val="2"/>
    </w:lvl>
  </w:abstractNum>
  <w:abstractNum w:abstractNumId="36">
    <w:nsid w:val="4962813B"/>
    <w:multiLevelType w:val="hybridMultilevel"/>
    <w:lvl w:ilvl="0">
      <w:lvlJc w:val="left"/>
      <w:lvlText w:val="(%1)"/>
      <w:numFmt w:val="decimal"/>
      <w:start w:val="1"/>
    </w:lvl>
  </w:abstractNum>
  <w:abstractNum w:abstractNumId="37">
    <w:nsid w:val="60B6DF70"/>
    <w:multiLevelType w:val="hybridMultilevel"/>
    <w:lvl w:ilvl="0">
      <w:lvlJc w:val="left"/>
      <w:lvlText w:val="(%1)"/>
      <w:numFmt w:val="decimal"/>
      <w:start w:val="2"/>
    </w:lvl>
  </w:abstractNum>
  <w:abstractNum w:abstractNumId="38">
    <w:nsid w:val="6A5EE64"/>
    <w:multiLevelType w:val="hybridMultilevel"/>
    <w:lvl w:ilvl="0">
      <w:lvlJc w:val="left"/>
      <w:lvlText w:val="(%1)"/>
      <w:numFmt w:val="decimal"/>
      <w:start w:val="1"/>
    </w:lvl>
  </w:abstractNum>
  <w:abstractNum w:abstractNumId="39">
    <w:nsid w:val="14330624"/>
    <w:multiLevelType w:val="hybridMultilevel"/>
    <w:lvl w:ilvl="0">
      <w:lvlJc w:val="left"/>
      <w:lvlText w:val="%1."/>
      <w:numFmt w:val="upperLetter"/>
      <w:start w:val="2"/>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1)"/>
      <w:numFmt w:val="decimal"/>
      <w:start w:val="1"/>
    </w:lvl>
  </w:abstractNum>
  <w:abstractNum w:abstractNumId="47">
    <w:nsid w:val="94211F2"/>
    <w:multiLevelType w:val="hybridMultilevel"/>
    <w:lvl w:ilvl="0">
      <w:lvlJc w:val="left"/>
      <w:lvlText w:val="(%1)"/>
      <w:numFmt w:val="decimal"/>
      <w:start w:val="1"/>
    </w:lvl>
  </w:abstractNum>
  <w:abstractNum w:abstractNumId="48">
    <w:nsid w:val="885E1B"/>
    <w:multiLevelType w:val="hybridMultilevel"/>
    <w:lvl w:ilvl="0">
      <w:lvlJc w:val="left"/>
      <w:lvlText w:val="(%1)"/>
      <w:numFmt w:val="lowerRoman"/>
      <w:start w:val="3"/>
    </w:lvl>
  </w:abstractNum>
  <w:abstractNum w:abstractNumId="49">
    <w:nsid w:val="76272110"/>
    <w:multiLevelType w:val="hybridMultilevel"/>
    <w:lvl w:ilvl="0">
      <w:lvlJc w:val="left"/>
      <w:lvlText w:val="(%1)"/>
      <w:numFmt w:val="lowerRoman"/>
      <w:start w:val="7"/>
    </w:lvl>
  </w:abstractNum>
  <w:abstractNum w:abstractNumId="50">
    <w:nsid w:val="4C04A8AF"/>
    <w:multiLevelType w:val="hybridMultilevel"/>
    <w:lvl w:ilvl="0">
      <w:lvlJc w:val="left"/>
      <w:lvlText w:val="(%1)"/>
      <w:numFmt w:val="lowerRoman"/>
      <w:start w:val="1"/>
    </w:lvl>
  </w:abstractNum>
  <w:abstractNum w:abstractNumId="51">
    <w:nsid w:val="1716703B"/>
    <w:multiLevelType w:val="hybridMultilevel"/>
    <w:lvl w:ilvl="0">
      <w:lvlJc w:val="left"/>
      <w:lvlText w:val="(%1)"/>
      <w:numFmt w:val="decimal"/>
      <w:start w:val="1"/>
    </w:lvl>
    <w:lvl w:ilvl="1">
      <w:lvlJc w:val="left"/>
      <w:lvlText w:val="(%2)"/>
      <w:numFmt w:val="lowerLetter"/>
      <w:start w:val="1"/>
    </w:lvl>
  </w:abstractNum>
  <w:abstractNum w:abstractNumId="52">
    <w:nsid w:val="14E17E33"/>
    <w:multiLevelType w:val="hybridMultilevel"/>
    <w:lvl w:ilvl="0">
      <w:lvlJc w:val="left"/>
      <w:lvlText w:val="(%1)"/>
      <w:numFmt w:val="decimal"/>
      <w:start w:val="3"/>
    </w:lvl>
  </w:abstractNum>
  <w:abstractNum w:abstractNumId="53">
    <w:nsid w:val="3222E7CD"/>
    <w:multiLevelType w:val="hybridMultilevel"/>
    <w:lvl w:ilvl="0">
      <w:lvlJc w:val="left"/>
      <w:lvlText w:val="(%1)"/>
      <w:numFmt w:val="lowerRoman"/>
      <w:start w:val="3"/>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1."/>
      <w:numFmt w:val="decimal"/>
      <w:start w:val="1"/>
    </w:lvl>
  </w:abstractNum>
  <w:abstractNum w:abstractNumId="57">
    <w:nsid w:val="46B7D447"/>
    <w:multiLevelType w:val="hybridMultilevel"/>
    <w:lvl w:ilvl="0">
      <w:lvlJc w:val="left"/>
      <w:lvlText w:val="(%1)"/>
      <w:numFmt w:val="lowerRoman"/>
      <w:start w:val="3"/>
    </w:lvl>
  </w:abstractNum>
  <w:abstractNum w:abstractNumId="58">
    <w:nsid w:val="4A2AC315"/>
    <w:multiLevelType w:val="hybridMultilevel"/>
    <w:lvl w:ilvl="0">
      <w:lvlJc w:val="left"/>
      <w:lvlText w:val="(%1)"/>
      <w:numFmt w:val="lowerRoman"/>
      <w:start w:val="5"/>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1"/>
      <w:numFmt w:val="bullet"/>
      <w:start w:val="1"/>
    </w:lvl>
  </w:abstractNum>
  <w:abstractNum w:abstractNumId="62">
    <w:nsid w:val="43F18422"/>
    <w:multiLevelType w:val="hybridMultilevel"/>
    <w:lvl w:ilvl="0">
      <w:lvlJc w:val="left"/>
      <w:lvlText w:val="2"/>
      <w:numFmt w:val="bullet"/>
      <w:start w:val="1"/>
    </w:lvl>
  </w:abstractNum>
  <w:abstractNum w:abstractNumId="63">
    <w:nsid w:val="60EF0119"/>
    <w:multiLevelType w:val="hybridMultilevel"/>
    <w:lvl w:ilvl="0">
      <w:lvlJc w:val="left"/>
      <w:lvlText w:val="1"/>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1."/>
      <w:numFmt w:val="lowerLetter"/>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
      <w:numFmt w:val="bullet"/>
      <w:start w:val="1"/>
    </w:lvl>
    <w:lvl w:ilvl="1">
      <w:lvlJc w:val="left"/>
      <w:lvlText w:val="\endash "/>
      <w:numFmt w:val="bullet"/>
      <w:start w:val="1"/>
    </w:lvl>
  </w:abstractNum>
  <w:abstractNum w:abstractNumId="68">
    <w:nsid w:val="5FB8370B"/>
    <w:multiLevelType w:val="hybridMultilevel"/>
    <w:lvl w:ilvl="0">
      <w:lvlJc w:val="left"/>
      <w:lvlText w:val="\endash "/>
      <w:numFmt w:val="bullet"/>
      <w:start w:val="1"/>
    </w:lvl>
  </w:abstractNum>
  <w:abstractNum w:abstractNumId="69">
    <w:nsid w:val="50801EE1"/>
    <w:multiLevelType w:val="hybridMultilevel"/>
    <w:lvl w:ilvl="0">
      <w:lvlJc w:val="left"/>
      <w:lvlText w:val="1"/>
      <w:numFmt w:val="bullet"/>
      <w:start w:val="1"/>
    </w:lvl>
  </w:abstractNum>
  <w:abstractNum w:abstractNumId="70">
    <w:nsid w:val="488AC1A"/>
    <w:multiLevelType w:val="hybridMultilevel"/>
    <w:lvl w:ilvl="0">
      <w:lvlJc w:val="left"/>
      <w:lvlText w:val="2"/>
      <w:numFmt w:val="bullet"/>
      <w:start w:val="1"/>
    </w:lvl>
  </w:abstractNum>
  <w:abstractNum w:abstractNumId="71">
    <w:nsid w:val="5FB8011C"/>
    <w:multiLevelType w:val="hybridMultilevel"/>
    <w:lvl w:ilvl="0">
      <w:lvlJc w:val="left"/>
      <w:lvlText w:val="(%1)"/>
      <w:numFmt w:val="decimal"/>
      <w:start w:val="1"/>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
      <w:numFmt w:val="bullet"/>
      <w:start w:val="1"/>
    </w:lvl>
  </w:abstractNum>
  <w:abstractNum w:abstractNumId="78">
    <w:nsid w:val="73A1821B"/>
    <w:multiLevelType w:val="hybridMultilevel"/>
    <w:lvl w:ilvl="0">
      <w:lvlJc w:val="left"/>
      <w:lvlText w:val="●"/>
      <w:numFmt w:val="bullet"/>
      <w:start w:val="1"/>
    </w:lvl>
  </w:abstractNum>
  <w:abstractNum w:abstractNumId="79">
    <w:nsid w:val="7DE67713"/>
    <w:multiLevelType w:val="hybridMultilevel"/>
    <w:lvl w:ilvl="0">
      <w:lvlJc w:val="left"/>
      <w:lvlText w:val="●"/>
      <w:numFmt w:val="bullet"/>
      <w:start w:val="1"/>
    </w:lvl>
  </w:abstractNum>
  <w:abstractNum w:abstractNumId="80">
    <w:nsid w:val="555C55B5"/>
    <w:multiLevelType w:val="hybridMultilevel"/>
    <w:lvl w:ilvl="0">
      <w:lvlJc w:val="left"/>
      <w:lvlText w:val="●"/>
      <w:numFmt w:val="bullet"/>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
      <w:numFmt w:val="bullet"/>
      <w:start w:val="1"/>
    </w:lvl>
  </w:abstractNum>
  <w:abstractNum w:abstractNumId="83">
    <w:nsid w:val="6A3DD3E8"/>
    <w:multiLevelType w:val="hybridMultilevel"/>
    <w:lvl w:ilvl="0">
      <w:lvlJc w:val="left"/>
      <w:lvlText w:val="%1)"/>
      <w:numFmt w:val="lowerLetter"/>
      <w:start w:val="1"/>
    </w:lvl>
  </w:abstractNum>
  <w:abstractNum w:abstractNumId="84">
    <w:nsid w:val="71C91298"/>
    <w:multiLevelType w:val="hybridMultilevel"/>
    <w:lvl w:ilvl="0">
      <w:lvlJc w:val="left"/>
      <w:lvlText w:val="●"/>
      <w:numFmt w:val="bullet"/>
      <w:start w:val="1"/>
    </w:lvl>
  </w:abstractNum>
  <w:abstractNum w:abstractNumId="85">
    <w:nsid w:val="9DAF632"/>
    <w:multiLevelType w:val="hybridMultilevel"/>
    <w:lvl w:ilvl="0">
      <w:lvlJc w:val="left"/>
      <w:lvlText w:val="%1."/>
      <w:numFmt w:val="lowerLetter"/>
      <w:start w:val="1"/>
    </w:lvl>
    <w:lvl w:ilvl="1">
      <w:lvlJc w:val="left"/>
      <w:lvlText w:val="%2."/>
      <w:numFmt w:val="lowerRoman"/>
      <w:start w:val="1"/>
    </w:lvl>
  </w:abstractNum>
  <w:abstractNum w:abstractNumId="86">
    <w:nsid w:val="53299938"/>
    <w:multiLevelType w:val="hybridMultilevel"/>
    <w:lvl w:ilvl="0">
      <w:lvlJc w:val="left"/>
      <w:lvlText w:val="%1."/>
      <w:numFmt w:val="lowerRoman"/>
      <w:start w:val="1"/>
    </w:lvl>
  </w:abstractNum>
  <w:abstractNum w:abstractNumId="87">
    <w:nsid w:val="1FBFE8E0"/>
    <w:multiLevelType w:val="hybridMultilevel"/>
    <w:lvl w:ilvl="0">
      <w:lvlJc w:val="left"/>
      <w:lvlText w:val="1"/>
      <w:numFmt w:val="bullet"/>
      <w:start w:val="1"/>
    </w:lvl>
  </w:abstractNum>
  <w:abstractNum w:abstractNumId="88">
    <w:nsid w:val="5092CA79"/>
    <w:multiLevelType w:val="hybridMultilevel"/>
    <w:lvl w:ilvl="0">
      <w:lvlJc w:val="left"/>
      <w:lvlText w:val="(%1)"/>
      <w:numFmt w:val="lowerLetter"/>
      <w:start w:val="1"/>
    </w:lvl>
  </w:abstractNum>
  <w:abstractNum w:abstractNumId="89">
    <w:nsid w:val="1D545C4D"/>
    <w:multiLevelType w:val="hybridMultilevel"/>
    <w:lvl w:ilvl="0">
      <w:lvlJc w:val="left"/>
      <w:lvlText w:val="●"/>
      <w:numFmt w:val="bullet"/>
      <w:start w:val="1"/>
    </w:lvl>
    <w:lvl w:ilvl="1">
      <w:lvlJc w:val="left"/>
      <w:lvlText w:val="◦"/>
      <w:numFmt w:val="bullet"/>
      <w:start w:val="1"/>
    </w:lvl>
  </w:abstractNum>
  <w:abstractNum w:abstractNumId="90">
    <w:nsid w:val="59ADEA3D"/>
    <w:multiLevelType w:val="hybridMultilevel"/>
    <w:lvl w:ilvl="0">
      <w:lvlJc w:val="left"/>
      <w:lvlText w:val="1"/>
      <w:numFmt w:val="bullet"/>
      <w:start w:val="1"/>
    </w:lvl>
  </w:abstractNum>
  <w:abstractNum w:abstractNumId="91">
    <w:nsid w:val="288F1A34"/>
    <w:multiLevelType w:val="hybridMultilevel"/>
    <w:lvl w:ilvl="0">
      <w:lvlJc w:val="left"/>
      <w:lvlText w:val="1"/>
      <w:numFmt w:val="bullet"/>
      <w:start w:val="1"/>
    </w:lvl>
  </w:abstractNum>
  <w:abstractNum w:abstractNumId="92">
    <w:nsid w:val="2A155DBC"/>
    <w:multiLevelType w:val="hybridMultilevel"/>
    <w:lvl w:ilvl="0">
      <w:lvlJc w:val="left"/>
      <w:lvlText w:val="●"/>
      <w:numFmt w:val="bullet"/>
      <w:start w:val="1"/>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1."/>
      <w:numFmt w:val="decimal"/>
      <w:start w:val="2"/>
    </w:lvl>
  </w:abstractNum>
  <w:abstractNum w:abstractNumId="95">
    <w:nsid w:val="51088277"/>
    <w:multiLevelType w:val="hybridMultilevel"/>
    <w:lvl w:ilvl="0">
      <w:lvlJc w:val="left"/>
      <w:lvlText w:val="%1."/>
      <w:numFmt w:val="decimal"/>
      <w:start w:val="3"/>
    </w:lvl>
  </w:abstractNum>
  <w:abstractNum w:abstractNumId="96">
    <w:nsid w:val="1CA0C5FA"/>
    <w:multiLevelType w:val="hybridMultilevel"/>
    <w:lvl w:ilvl="0">
      <w:lvlJc w:val="left"/>
      <w:lvlText w:val="●"/>
      <w:numFmt w:val="bullet"/>
      <w:start w:val="1"/>
    </w:lvl>
  </w:abstractNum>
  <w:abstractNum w:abstractNumId="97">
    <w:nsid w:val="53584BCB"/>
    <w:multiLevelType w:val="hybridMultilevel"/>
    <w:lvl w:ilvl="0">
      <w:lvlJc w:val="left"/>
      <w:lvlText w:val="●"/>
      <w:numFmt w:val="bullet"/>
      <w:start w:val="1"/>
    </w:lvl>
  </w:abstractNum>
  <w:abstractNum w:abstractNumId="98">
    <w:nsid w:val="415E286C"/>
    <w:multiLevelType w:val="hybridMultilevel"/>
    <w:lvl w:ilvl="0">
      <w:lvlJc w:val="left"/>
      <w:lvlText w:val="1"/>
      <w:numFmt w:val="bullet"/>
      <w:start w:val="1"/>
    </w:lvl>
  </w:abstractNum>
  <w:abstractNum w:abstractNumId="99">
    <w:nsid w:val="7C58FD05"/>
    <w:multiLevelType w:val="hybridMultilevel"/>
    <w:lvl w:ilvl="0">
      <w:lvlJc w:val="left"/>
      <w:lvlText w:val="2"/>
      <w:numFmt w:val="bullet"/>
      <w:start w:val="1"/>
    </w:lvl>
  </w:abstractNum>
  <w:abstractNum w:abstractNumId="100">
    <w:nsid w:val="23D86AAC"/>
    <w:multiLevelType w:val="hybridMultilevel"/>
    <w:lvl w:ilvl="0">
      <w:lvlJc w:val="left"/>
      <w:lvlText w:val="1"/>
      <w:numFmt w:val="bullet"/>
      <w:start w:val="1"/>
    </w:lvl>
  </w:abstractNum>
  <w:abstractNum w:abstractNumId="101">
    <w:nsid w:val="45E6D486"/>
    <w:multiLevelType w:val="hybridMultilevel"/>
    <w:lvl w:ilvl="0">
      <w:lvlJc w:val="left"/>
      <w:lvlText w:val="2"/>
      <w:numFmt w:val="bullet"/>
      <w:start w:val="1"/>
    </w:lvl>
  </w:abstractNum>
  <w:abstractNum w:abstractNumId="102">
    <w:nsid w:val="5C10FE21"/>
    <w:multiLevelType w:val="hybridMultilevel"/>
    <w:lvl w:ilvl="0">
      <w:lvlJc w:val="left"/>
      <w:lvlText w:val="%1."/>
      <w:numFmt w:val="lowerLetter"/>
      <w:start w:val="1"/>
    </w:lvl>
  </w:abstractNum>
  <w:abstractNum w:abstractNumId="103">
    <w:nsid w:val="E7FFA2B"/>
    <w:multiLevelType w:val="hybridMultilevel"/>
    <w:lvl w:ilvl="0">
      <w:lvlJc w:val="left"/>
      <w:lvlText w:val="%1."/>
      <w:numFmt w:val="lowerLetter"/>
      <w:start w:val="4"/>
    </w:lvl>
  </w:abstractNum>
  <w:abstractNum w:abstractNumId="104">
    <w:nsid w:val="3C5991AA"/>
    <w:multiLevelType w:val="hybridMultilevel"/>
    <w:lvl w:ilvl="0">
      <w:lvlJc w:val="left"/>
      <w:lvlText w:val="1"/>
      <w:numFmt w:val="bullet"/>
      <w:start w:val="1"/>
    </w:lvl>
  </w:abstractNum>
  <w:abstractNum w:abstractNumId="105">
    <w:nsid w:val="4BD8591A"/>
    <w:multiLevelType w:val="hybridMultilevel"/>
    <w:lvl w:ilvl="0">
      <w:lvlJc w:val="left"/>
      <w:lvlText w:val="2"/>
      <w:numFmt w:val="bullet"/>
      <w:start w:val="1"/>
    </w:lvl>
  </w:abstractNum>
  <w:abstractNum w:abstractNumId="106">
    <w:nsid w:val="78DF6A55"/>
    <w:multiLevelType w:val="hybridMultilevel"/>
    <w:lvl w:ilvl="0">
      <w:lvlJc w:val="left"/>
      <w:lvlText w:val="*"/>
      <w:numFmt w:val="bullet"/>
      <w:start w:val="1"/>
    </w:lvl>
  </w:abstractNum>
  <w:abstractNum w:abstractNumId="107">
    <w:nsid w:val="39B7AAA2"/>
    <w:multiLevelType w:val="hybridMultilevel"/>
    <w:lvl w:ilvl="0">
      <w:lvlJc w:val="left"/>
      <w:lvlText w:val="1"/>
      <w:numFmt w:val="bullet"/>
      <w:start w:val="1"/>
    </w:lvl>
  </w:abstractNum>
  <w:abstractNum w:abstractNumId="108">
    <w:nsid w:val="2B0D8DBE"/>
    <w:multiLevelType w:val="hybridMultilevel"/>
    <w:lvl w:ilvl="0">
      <w:lvlJc w:val="left"/>
      <w:lvlText w:val="●"/>
      <w:numFmt w:val="bullet"/>
      <w:start w:val="1"/>
    </w:lvl>
    <w:lvl w:ilvl="1">
      <w:lvlJc w:val="left"/>
      <w:lvlText w:val="\endash "/>
      <w:numFmt w:val="bullet"/>
      <w:start w:val="1"/>
    </w:lvl>
  </w:abstractNum>
  <w:abstractNum w:abstractNumId="109">
    <w:nsid w:val="6C80EC70"/>
    <w:multiLevelType w:val="hybridMultilevel"/>
    <w:lvl w:ilvl="0">
      <w:lvlJc w:val="left"/>
      <w:lvlText w:val="●"/>
      <w:numFmt w:val="bullet"/>
      <w:start w:val="1"/>
    </w:lvl>
    <w:lvl w:ilvl="1">
      <w:lvlJc w:val="left"/>
      <w:lvlText w:val="\endash "/>
      <w:numFmt w:val="bullet"/>
      <w:start w:val="1"/>
    </w:lvl>
  </w:abstractNum>
  <w:abstractNum w:abstractNumId="110">
    <w:nsid w:val="379E21B5"/>
    <w:multiLevelType w:val="hybridMultilevel"/>
    <w:lvl w:ilvl="0">
      <w:lvlJc w:val="left"/>
      <w:lvlText w:val="●"/>
      <w:numFmt w:val="bullet"/>
      <w:start w:val="1"/>
    </w:lvl>
  </w:abstractNum>
  <w:abstractNum w:abstractNumId="111">
    <w:nsid w:val="69E373"/>
    <w:multiLevelType w:val="hybridMultilevel"/>
    <w:lvl w:ilvl="0">
      <w:lvlJc w:val="left"/>
      <w:lvlText w:val="●"/>
      <w:numFmt w:val="bullet"/>
      <w:start w:val="1"/>
    </w:lvl>
  </w:abstractNum>
  <w:abstractNum w:abstractNumId="112">
    <w:nsid w:val="2C27173B"/>
    <w:multiLevelType w:val="hybridMultilevel"/>
    <w:lvl w:ilvl="0">
      <w:lvlJc w:val="left"/>
      <w:lvlText w:val="*"/>
      <w:numFmt w:val="bullet"/>
      <w:start w:val="1"/>
    </w:lvl>
  </w:abstractNum>
  <w:abstractNum w:abstractNumId="113">
    <w:nsid w:val="4C9B0904"/>
    <w:multiLevelType w:val="hybridMultilevel"/>
    <w:lvl w:ilvl="0">
      <w:lvlJc w:val="left"/>
      <w:lvlText w:val="%1)"/>
      <w:numFmt w:val="lowerLetter"/>
      <w:start w:val="1"/>
    </w:lvl>
  </w:abstractNum>
  <w:abstractNum w:abstractNumId="114">
    <w:nsid w:val="6AA7B75C"/>
    <w:multiLevelType w:val="hybridMultilevel"/>
    <w:lvl w:ilvl="0">
      <w:lvlJc w:val="left"/>
      <w:lvlText w:val="●"/>
      <w:numFmt w:val="bullet"/>
      <w:start w:val="1"/>
    </w:lvl>
  </w:abstractNum>
  <w:abstractNum w:abstractNumId="115">
    <w:nsid w:val="1DF029D3"/>
    <w:multiLevelType w:val="hybridMultilevel"/>
    <w:lvl w:ilvl="0">
      <w:lvlJc w:val="left"/>
      <w:lvlText w:val="1"/>
      <w:numFmt w:val="bullet"/>
      <w:start w:val="1"/>
    </w:lvl>
  </w:abstractNum>
  <w:abstractNum w:abstractNumId="116">
    <w:nsid w:val="5675FF36"/>
    <w:multiLevelType w:val="hybridMultilevel"/>
    <w:lvl w:ilvl="0">
      <w:lvlJc w:val="left"/>
      <w:lvlText w:val="2"/>
      <w:numFmt w:val="bullet"/>
      <w:start w:val="1"/>
    </w:lvl>
  </w:abstractNum>
  <w:abstractNum w:abstractNumId="117">
    <w:nsid w:val="3DD15094"/>
    <w:multiLevelType w:val="hybridMultilevel"/>
    <w:lvl w:ilvl="0">
      <w:lvlJc w:val="left"/>
      <w:lvlText w:val="●"/>
      <w:numFmt w:val="bullet"/>
      <w:start w:val="1"/>
    </w:lvl>
  </w:abstractNum>
  <w:abstractNum w:abstractNumId="118">
    <w:nsid w:val="3DB012B3"/>
    <w:multiLevelType w:val="hybridMultilevel"/>
    <w:lvl w:ilvl="0">
      <w:lvlJc w:val="left"/>
      <w:lvlText w:val="1"/>
      <w:numFmt w:val="bullet"/>
      <w:start w:val="1"/>
    </w:lvl>
  </w:abstractNum>
  <w:abstractNum w:abstractNumId="119">
    <w:nsid w:val="2708C9AF"/>
    <w:multiLevelType w:val="hybridMultilevel"/>
    <w:lvl w:ilvl="0">
      <w:lvlJc w:val="left"/>
      <w:lvlText w:val="2"/>
      <w:numFmt w:val="bullet"/>
      <w:start w:val="1"/>
    </w:lvl>
  </w:abstractNum>
  <w:abstractNum w:abstractNumId="120">
    <w:nsid w:val="5B25ACE2"/>
    <w:multiLevelType w:val="hybridMultilevel"/>
    <w:lvl w:ilvl="0">
      <w:lvlJc w:val="left"/>
      <w:lvlText w:val="%1."/>
      <w:numFmt w:val="decimal"/>
      <w:start w:val="1"/>
    </w:lvl>
    <w:lvl w:ilvl="1">
      <w:lvlJc w:val="left"/>
      <w:lvlText w:val="(%2)"/>
      <w:numFmt w:val="lowerLetter"/>
      <w:start w:val="1"/>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lowerRoman"/>
      <w:start w:val="1"/>
    </w:lvl>
  </w:abstractNum>
  <w:abstractNum w:abstractNumId="123">
    <w:nsid w:val="53B0A9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jpeg"/><Relationship Id="rId156" Type="http://schemas.openxmlformats.org/officeDocument/2006/relationships/image" Target="media/image134.jpe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137" Type="http://schemas.openxmlformats.org/officeDocument/2006/relationships/hyperlink" Target="http://www.sec.gov/Archives/edgar/data/1863362/000121390021050707/ea148099ex1-1_procaps.htm" TargetMode="External"/><Relationship Id="rId138" Type="http://schemas.openxmlformats.org/officeDocument/2006/relationships/hyperlink" Target="http://www.sec.gov/Archives/edgar/data/1863362/000121390021043405/ff42021a2ex4-1_procapsgroup.htm" TargetMode="External"/><Relationship Id="rId139" Type="http://schemas.openxmlformats.org/officeDocument/2006/relationships/hyperlink" Target="http://www.sec.gov/Archives/edgar/data/1863362/000121390021033263/ff42021ex4-4_procapsgroup.htm" TargetMode="External"/><Relationship Id="rId140" Type="http://schemas.openxmlformats.org/officeDocument/2006/relationships/hyperlink" Target="http://www.sec.gov/Archives/edgar/data/1766146/000121390019020703/f8k1019ex4-1_unionacq2.htm" TargetMode="External"/><Relationship Id="rId141" Type="http://schemas.openxmlformats.org/officeDocument/2006/relationships/hyperlink" Target="http://www.sec.gov/Archives/edgar/data/1863362/000121390021050707/ea148099ex2-5_procaps.htm" TargetMode="External"/><Relationship Id="rId142" Type="http://schemas.openxmlformats.org/officeDocument/2006/relationships/hyperlink" Target="http://www.sec.gov/Archives/edgar/data/1863362/000121390022022855/f20f2021ex2-5_procapsgroup.htm" TargetMode="External"/><Relationship Id="rId143" Type="http://schemas.openxmlformats.org/officeDocument/2006/relationships/hyperlink" Target="http://www.sec.gov/Archives/edgar/data/1766146/000121390021019812/ea138847ex2-1_unionacq2.htm" TargetMode="External"/><Relationship Id="rId144" Type="http://schemas.openxmlformats.org/officeDocument/2006/relationships/hyperlink" Target="http://www.sec.gov/Archives/edgar/data/1863362/000121390021050707/ea148099ex4-2_procaps.htm" TargetMode="External"/><Relationship Id="rId145" Type="http://schemas.openxmlformats.org/officeDocument/2006/relationships/hyperlink" Target="http://www.sec.gov/Archives/edgar/data/1766146/000121390021019812/ea138847ex10-1_unionacq2.htm" TargetMode="External"/><Relationship Id="rId146" Type="http://schemas.openxmlformats.org/officeDocument/2006/relationships/hyperlink" Target="http://www.sec.gov/Archives/edgar/data/1766146/000121390021019812/ea138847ex10-2_unionacq2.htm" TargetMode="External"/><Relationship Id="rId147" Type="http://schemas.openxmlformats.org/officeDocument/2006/relationships/hyperlink" Target="http://www.sec.gov/Archives/edgar/data/1766146/000121390021019812/ea138847ex10-3_unionacq2.htm" TargetMode="External"/><Relationship Id="rId148" Type="http://schemas.openxmlformats.org/officeDocument/2006/relationships/hyperlink" Target="http://www.sec.gov/Archives/edgar/data/1863362/000121390021050707/ea148099ex4-7_procaps.htm" TargetMode="External"/><Relationship Id="rId149" Type="http://schemas.openxmlformats.org/officeDocument/2006/relationships/hyperlink" Target="http://www.sec.gov/Archives/edgar/data/1863362/000121390021050707/ea148099ex4-8_procaps.htm" TargetMode="External"/><Relationship Id="rId150" Type="http://schemas.openxmlformats.org/officeDocument/2006/relationships/hyperlink" Target="http://www.sec.gov/Archives/edgar/data/1863362/000121390021050707/ea148099ex4-9_procaps.htm" TargetMode="External"/><Relationship Id="rId151" Type="http://schemas.openxmlformats.org/officeDocument/2006/relationships/hyperlink" Target="http://www.sec.gov/Archives/edgar/data/1863362/000121390022022855/f20f2021ex8-1_procapsgrou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2022-05-19T16:40:43Z</dcterms:created>
  <dcterms:modified xsi:type="dcterms:W3CDTF">2022-05-19T16:40:43Z</dcterms:modified>
</cp:coreProperties>
</file>