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Romero Camacho Carlos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11600 MIRAMAR PARKWAY, SUITE 300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Sofgen Pharma S.A.</w:t>
              </w:r>
            </w:hyperlink>
            <w:r>
              <w:rPr/>
              <w:t xml:space="preserve"> [ </w:t>
            </w:r>
            <w:r>
              <w:rPr>
                <w:rFonts w:ascii="Times;serif" w:hAnsi="Times;serif"/>
                <w:color w:val="0000FF"/>
                <w:sz w:val="24"/>
                <w:shd w:fill="FFFFFF" w:val="clear"/>
              </w:rPr>
              <w:t>PROC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Freddy Andres Lozano Reyes,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4" w:right="0" w:hanging="0"/>
        <w:jc w:val="right"/>
        <w:rPr>
          <w:rFonts w:ascii="Times New Roman;Times;Serif" w:hAnsi="Times New Roman;Times;Serif"/>
          <w:b/>
          <w:i w:val="false"/>
          <w:caps w:val="false"/>
          <w:smallCaps w:val="false"/>
          <w:sz w:val="20"/>
        </w:rPr>
      </w:pPr>
      <w:bookmarkStart w:id="2" w:name="ea028358801ex24.htm"/>
      <w:bookmarkStart w:id="3" w:name="ksea028358801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4"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4" w:right="0" w:hanging="0"/>
        <w:jc w:val="both"/>
        <w:rPr>
          <w:caps w:val="false"/>
          <w:smallCaps w:val="false"/>
        </w:rPr>
      </w:pPr>
      <w:r>
        <w:rPr>
          <w:caps w:val="false"/>
          <w:smallCaps w:val="false"/>
        </w:rPr>
        <w:t> </w:t>
      </w:r>
    </w:p>
    <w:p>
      <w:pPr>
        <w:pStyle w:val="TextBody"/>
        <w:bidi w:val="0"/>
        <w:spacing w:before="0" w:after="0"/>
        <w:ind w:left="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Carlos Romero-Camacho (the “</w:t>
      </w:r>
      <w:r>
        <w:rPr>
          <w:rFonts w:ascii="Times New Roman;Times;Serif" w:hAnsi="Times New Roman;Times;Serif"/>
          <w:b/>
          <w:i w:val="false"/>
          <w:caps w:val="false"/>
          <w:smallCaps w:val="false"/>
          <w:sz w:val="20"/>
        </w:rPr>
        <w:t>Grantor</w:t>
      </w:r>
      <w:r>
        <w:rPr>
          <w:rFonts w:ascii="Times New Roman;Times;Serif" w:hAnsi="Times New Roman;Times;Serif"/>
          <w:b w:val="false"/>
          <w:i w:val="false"/>
          <w:caps w:val="false"/>
          <w:smallCaps w:val="false"/>
          <w:sz w:val="20"/>
        </w:rPr>
        <w:t>”).</w:t>
      </w:r>
    </w:p>
    <w:p>
      <w:pPr>
        <w:pStyle w:val="TextBody"/>
        <w:bidi w:val="0"/>
        <w:spacing w:before="0" w:after="0"/>
        <w:ind w:left="4" w:right="0" w:hanging="0"/>
        <w:jc w:val="both"/>
        <w:rPr>
          <w:caps w:val="false"/>
          <w:smallCaps w:val="false"/>
        </w:rPr>
      </w:pPr>
      <w:r>
        <w:rPr>
          <w:caps w:val="false"/>
          <w:smallCaps w:val="false"/>
        </w:rPr>
        <w:t> </w:t>
      </w:r>
    </w:p>
    <w:p>
      <w:pPr>
        <w:pStyle w:val="TextBody"/>
        <w:bidi w:val="0"/>
        <w:spacing w:before="0" w:after="0"/>
        <w:ind w:left="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Grantor is a director and/or officer (as defined in Rule 16(a) and/or 16a-1(f)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of Sofgen Pharma S.A., a public limited liability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governed by the laws of the Grand Duchy of Luxembourg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Act and United States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rules require the filing of beneficial ownership and transaction reports on SEC Forms 3, 4 and 5 (collectively, the “</w:t>
      </w:r>
      <w:r>
        <w:rPr>
          <w:rFonts w:ascii="Times New Roman;Times;Serif" w:hAnsi="Times New Roman;Times;Serif"/>
          <w:b/>
          <w:i w:val="false"/>
          <w:caps w:val="false"/>
          <w:smallCaps w:val="false"/>
          <w:sz w:val="20"/>
        </w:rPr>
        <w:t>Section 16(a) Reports</w:t>
      </w:r>
      <w:r>
        <w:rPr>
          <w:rFonts w:ascii="Times New Roman;Times;Serif" w:hAnsi="Times New Roman;Times;Serif"/>
          <w:b w:val="false"/>
          <w:i w:val="false"/>
          <w:caps w:val="false"/>
          <w:smallCaps w:val="false"/>
          <w:sz w:val="20"/>
        </w:rPr>
        <w:t>”). Such filings must be made electronically through the SEC’s EDGAR system (including EDGAR Next).</w:t>
      </w:r>
    </w:p>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Grantor therefore grants a special power of attorney, as broad and sufficient as required by law, in favor of (the, the “</w:t>
      </w:r>
      <w:r>
        <w:rPr>
          <w:rFonts w:ascii="Times New Roman;Times;Serif" w:hAnsi="Times New Roman;Times;Serif"/>
          <w:b/>
          <w:i w:val="false"/>
          <w:caps w:val="false"/>
          <w:smallCaps w:val="false"/>
          <w:sz w:val="20"/>
        </w:rPr>
        <w:t>Attorneys-in-Fact</w:t>
      </w:r>
      <w:r>
        <w:rPr>
          <w:rFonts w:ascii="Times New Roman;Times;Serif" w:hAnsi="Times New Roman;Times;Serif"/>
          <w:b w:val="false"/>
          <w:i w:val="false"/>
          <w:caps w:val="false"/>
          <w:smallCaps w:val="false"/>
          <w:sz w:val="20"/>
        </w:rPr>
        <w:t>”):</w:t>
      </w:r>
    </w:p>
    <w:p>
      <w:pPr>
        <w:pStyle w:val="TextBody"/>
        <w:bidi w:val="0"/>
        <w:spacing w:before="0" w:after="0"/>
        <w:ind w:left="1443"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386"/>
        <w:gridCol w:w="9665"/>
      </w:tblGrid>
      <w:tr>
        <w:trPr/>
        <w:tc>
          <w:tcPr>
            <w:tcW w:w="1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María Alejandra Molina;</w:t>
            </w:r>
          </w:p>
        </w:tc>
      </w:tr>
    </w:tbl>
    <w:tbl>
      <w:tblPr>
        <w:tblW w:w="5000" w:type="pct"/>
        <w:jc w:val="left"/>
        <w:tblInd w:w="0" w:type="dxa"/>
        <w:tblLayout w:type="fixed"/>
        <w:tblCellMar>
          <w:top w:w="0" w:type="dxa"/>
          <w:left w:w="0" w:type="dxa"/>
          <w:bottom w:w="0" w:type="dxa"/>
          <w:right w:w="0" w:type="dxa"/>
        </w:tblCellMar>
      </w:tblPr>
      <w:tblGrid>
        <w:gridCol w:w="185"/>
        <w:gridCol w:w="464"/>
        <w:gridCol w:w="9556"/>
      </w:tblGrid>
      <w:tr>
        <w:trPr/>
        <w:tc>
          <w:tcPr>
            <w:tcW w:w="18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w:t>
            </w:r>
          </w:p>
        </w:tc>
        <w:tc>
          <w:tcPr>
            <w:tcW w:w="9556" w:type="dxa"/>
            <w:tcBorders/>
            <w:vAlign w:val="center"/>
          </w:tcPr>
          <w:p>
            <w:pPr>
              <w:pStyle w:val="TableContents"/>
              <w:bidi w:val="0"/>
              <w:spacing w:before="0" w:after="283"/>
              <w:jc w:val="left"/>
              <w:rPr/>
            </w:pPr>
            <w:r>
              <w:rPr/>
              <w:t>Freddy Lozano; and</w:t>
            </w:r>
          </w:p>
        </w:tc>
      </w:tr>
    </w:tbl>
    <w:tbl>
      <w:tblPr>
        <w:tblW w:w="5000" w:type="pct"/>
        <w:jc w:val="left"/>
        <w:tblInd w:w="0" w:type="dxa"/>
        <w:tblLayout w:type="fixed"/>
        <w:tblCellMar>
          <w:top w:w="0" w:type="dxa"/>
          <w:left w:w="0" w:type="dxa"/>
          <w:bottom w:w="0" w:type="dxa"/>
          <w:right w:w="0" w:type="dxa"/>
        </w:tblCellMar>
      </w:tblPr>
      <w:tblGrid>
        <w:gridCol w:w="245"/>
        <w:gridCol w:w="615"/>
        <w:gridCol w:w="9345"/>
      </w:tblGrid>
      <w:tr>
        <w:trPr/>
        <w:tc>
          <w:tcPr>
            <w:tcW w:w="2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w:t>
            </w:r>
          </w:p>
        </w:tc>
        <w:tc>
          <w:tcPr>
            <w:tcW w:w="9345" w:type="dxa"/>
            <w:tcBorders/>
            <w:vAlign w:val="center"/>
          </w:tcPr>
          <w:p>
            <w:pPr>
              <w:pStyle w:val="TableContents"/>
              <w:bidi w:val="0"/>
              <w:spacing w:before="0" w:after="283"/>
              <w:jc w:val="left"/>
              <w:rPr/>
            </w:pPr>
            <w:r>
              <w:rPr/>
              <w:t>Carlos Carazo.</w:t>
            </w:r>
          </w:p>
        </w:tc>
      </w:tr>
    </w:tbl>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any of them, individually, with full powers of substitution, may in the name and on behalf of the Grantor carry out the following acts:</w:t>
      </w:r>
    </w:p>
    <w:p>
      <w:pPr>
        <w:pStyle w:val="TextBody"/>
        <w:bidi w:val="0"/>
        <w:spacing w:before="0" w:after="0"/>
        <w:ind w:left="722" w:right="0" w:hanging="359"/>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20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425" w:type="dxa"/>
            <w:tcBorders/>
            <w:vAlign w:val="center"/>
          </w:tcPr>
          <w:p>
            <w:pPr>
              <w:pStyle w:val="TableContents"/>
              <w:bidi w:val="0"/>
              <w:spacing w:before="0" w:after="283"/>
              <w:jc w:val="both"/>
              <w:rPr/>
            </w:pPr>
            <w:r>
              <w:rPr/>
              <w:t>Obtain and manage EDGAR/EDGAR Next credentials and access.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0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4115" w:type="dxa"/>
            <w:tcBorders/>
            <w:vAlign w:val="center"/>
          </w:tcPr>
          <w:p>
            <w:pPr>
              <w:pStyle w:val="TableContents"/>
              <w:bidi w:val="0"/>
              <w:spacing w:before="0" w:after="283"/>
              <w:jc w:val="both"/>
              <w:rPr/>
            </w:pPr>
            <w:r>
              <w:rPr/>
              <w:t>Prepare and execute Section 16(a)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0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4115" w:type="dxa"/>
            <w:tcBorders/>
            <w:vAlign w:val="center"/>
          </w:tcPr>
          <w:p>
            <w:pPr>
              <w:pStyle w:val="TableContents"/>
              <w:bidi w:val="0"/>
              <w:spacing w:before="0" w:after="283"/>
              <w:jc w:val="both"/>
              <w:rPr/>
            </w:pPr>
            <w:r>
              <w:rPr/>
              <w:t>Submit filings via EDGAR/EDGAR Next.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transmit and file (or cause to be filed) any Section 16(a) Reports through EDGAR/EDGAR Next, and take any and all actions necessary, advisable or appropriate to effect such filings in a timely manner;</w:t>
      </w:r>
    </w:p>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0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4760" w:type="dxa"/>
            <w:tcBorders/>
            <w:vAlign w:val="center"/>
          </w:tcPr>
          <w:p>
            <w:pPr>
              <w:pStyle w:val="TableContents"/>
              <w:bidi w:val="0"/>
              <w:spacing w:before="0" w:after="283"/>
              <w:jc w:val="both"/>
              <w:rPr/>
            </w:pPr>
            <w:r>
              <w:rPr/>
              <w:t>Communications with SEC and service providers.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0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745" w:type="dxa"/>
            <w:tcBorders/>
            <w:vAlign w:val="center"/>
          </w:tcPr>
          <w:p>
            <w:pPr>
              <w:pStyle w:val="TableContents"/>
              <w:bidi w:val="0"/>
              <w:spacing w:before="0" w:after="283"/>
              <w:jc w:val="both"/>
              <w:rPr/>
            </w:pPr>
            <w:r>
              <w:rPr/>
              <w:t>Incidental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pStyle w:val="TextBody"/>
        <w:bidi w:val="0"/>
        <w:spacing w:before="0" w:after="0"/>
        <w:ind w:left="3" w:right="0" w:hanging="0"/>
        <w:jc w:val="left"/>
        <w:rPr>
          <w:caps w:val="false"/>
          <w:smallCaps w:val="false"/>
        </w:rPr>
      </w:pPr>
      <w:r>
        <w:rPr>
          <w:caps w:val="false"/>
          <w:smallCaps w:val="false"/>
        </w:rPr>
        <w:t> </w:t>
      </w:r>
    </w:p>
    <w:p>
      <w:pPr>
        <w:pStyle w:val="TextBody"/>
        <w:bidi w:val="0"/>
        <w:spacing w:before="0" w:after="0"/>
        <w:ind w:left="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Grantor acknowledges and agrees that:</w:t>
      </w:r>
    </w:p>
    <w:p>
      <w:pPr>
        <w:pStyle w:val="TextBody"/>
        <w:bidi w:val="0"/>
        <w:spacing w:before="0" w:after="0"/>
        <w:ind w:left="72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this power of attorney authorizes, but does not require, any Attorney-in-Fact to act, and each Attorney-in-Fact may act in his or her discretion on information provided to such Attorney-in-Fact without independent verification;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this power of attorney does not relieve the Grantor from responsibility for compliance with the Grantor’s obligations under the Exchange Act, including the reporting requirements under Section 16(a) and the rules and regulations thereunder;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none of the Company or any Attorney-in-Fact assumes any liability for the Grantor’s responsibility to comply with the requirements of the Exchange Act or for any failure by the Grantor to comply with such requirements.</w:t>
            </w:r>
          </w:p>
        </w:tc>
      </w:tr>
    </w:tbl>
    <w:p>
      <w:pPr>
        <w:pStyle w:val="TextBody"/>
        <w:bidi w:val="0"/>
        <w:spacing w:before="0" w:after="0"/>
        <w:ind w:left="722" w:right="0" w:hanging="360"/>
        <w:jc w:val="both"/>
        <w:rPr>
          <w:caps w:val="false"/>
          <w:smallCaps w:val="false"/>
        </w:rPr>
      </w:pPr>
      <w:r>
        <w:rPr>
          <w:caps w:val="false"/>
          <w:smallCaps w:val="false"/>
        </w:rPr>
        <w:t>  </w:t>
      </w:r>
    </w:p>
    <w:p>
      <w:pPr>
        <w:pStyle w:val="TextBody"/>
        <w:bidi w:val="0"/>
        <w:spacing w:before="0" w:after="0"/>
        <w:ind w:left="722" w:right="0" w:hanging="36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2"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power of attorney has been duly executed on March [6], 2026.</w:t>
      </w:r>
    </w:p>
    <w:p>
      <w:pPr>
        <w:pStyle w:val="TextBody"/>
        <w:bidi w:val="0"/>
        <w:spacing w:before="0" w:after="0"/>
        <w:ind w:left="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pages of this power of attorney, from the first until this current page, are part of this Power of Attorney.</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35"/>
        <w:gridCol w:w="234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Carlos Romero-Camacho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Carlos Romero-Camacho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20"/>
              </w:rPr>
            </w:pPr>
            <w:r>
              <w:rPr>
                <w:sz w:val="20"/>
              </w:rPr>
              <w:t xml:space="preserve">STATE OF FLORIDA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20"/>
              </w:rPr>
            </w:pPr>
            <w:r>
              <w:rPr>
                <w:sz w:val="20"/>
              </w:rPr>
              <w:t>COUNTY OF MIAMI-DADE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Sworn to and subscribed before me by means of [__] physical presence or [x] online notarization, this 6th day of March 2026, by Carlos Romero-Camacho</w:t>
      </w:r>
    </w:p>
    <w:p>
      <w:pPr>
        <w:pStyle w:val="TextBody"/>
        <w:bidi w:val="0"/>
        <w:spacing w:before="0" w:after="0"/>
        <w:ind w:left="3" w:right="0" w:firstLine="687"/>
        <w:jc w:val="left"/>
        <w:rPr>
          <w:caps w:val="false"/>
          <w:smallCaps w:val="false"/>
        </w:rPr>
      </w:pPr>
      <w:r>
        <w:rPr>
          <w:caps w:val="false"/>
          <w:smallCaps w:val="false"/>
        </w:rPr>
        <w:t> </w:t>
      </w:r>
    </w:p>
    <w:tbl>
      <w:tblPr>
        <w:tblW w:w="5119" w:type="dxa"/>
        <w:jc w:val="left"/>
        <w:tblInd w:w="0" w:type="dxa"/>
        <w:tblLayout w:type="fixed"/>
        <w:tblCellMar>
          <w:top w:w="0" w:type="dxa"/>
          <w:left w:w="0" w:type="dxa"/>
          <w:bottom w:w="28" w:type="dxa"/>
          <w:right w:w="0" w:type="dxa"/>
        </w:tblCellMar>
      </w:tblPr>
      <w:tblGrid>
        <w:gridCol w:w="4909"/>
        <w:gridCol w:w="210"/>
      </w:tblGrid>
      <w:tr>
        <w:trPr/>
        <w:tc>
          <w:tcPr>
            <w:tcW w:w="4909" w:type="dxa"/>
            <w:tcBorders>
              <w:bottom w:val="single" w:sz="12" w:space="0" w:color="000000"/>
            </w:tcBorders>
            <w:vAlign w:val="center"/>
          </w:tcPr>
          <w:p>
            <w:pPr>
              <w:pStyle w:val="TableContents"/>
              <w:bidi w:val="0"/>
              <w:spacing w:before="0" w:after="283"/>
              <w:jc w:val="left"/>
              <w:rPr>
                <w:sz w:val="20"/>
              </w:rPr>
            </w:pPr>
            <w:r>
              <w:rPr>
                <w:sz w:val="20"/>
              </w:rPr>
              <w:t>/s/ Elizabeth Collazo</w:t>
            </w:r>
          </w:p>
        </w:tc>
        <w:tc>
          <w:tcPr>
            <w:tcW w:w="210" w:type="dxa"/>
            <w:tcBorders/>
            <w:tcMar>
              <w:bottom w:w="0" w:type="dxa"/>
            </w:tcMar>
            <w:vAlign w:val="center"/>
          </w:tcPr>
          <w:p>
            <w:pPr>
              <w:pStyle w:val="TableContents"/>
              <w:bidi w:val="0"/>
              <w:spacing w:before="0" w:after="283"/>
              <w:jc w:val="left"/>
              <w:rPr/>
            </w:pPr>
            <w:r>
              <w:rPr/>
              <w:t> </w:t>
            </w:r>
          </w:p>
        </w:tc>
      </w:tr>
      <w:tr>
        <w:trPr/>
        <w:tc>
          <w:tcPr>
            <w:tcW w:w="5119" w:type="dxa"/>
            <w:gridSpan w:val="2"/>
            <w:tcBorders/>
            <w:tcMar>
              <w:bottom w:w="0" w:type="dxa"/>
            </w:tcMar>
            <w:vAlign w:val="center"/>
          </w:tcPr>
          <w:p>
            <w:pPr>
              <w:pStyle w:val="TableContents"/>
              <w:bidi w:val="0"/>
              <w:spacing w:before="0" w:after="283"/>
              <w:jc w:val="left"/>
              <w:rPr>
                <w:sz w:val="20"/>
              </w:rPr>
            </w:pPr>
            <w:r>
              <w:rPr>
                <w:sz w:val="20"/>
              </w:rPr>
              <w:t>(NOTARY SEAL) (Signature of Notary Public-State of Florida)</w:t>
            </w:r>
          </w:p>
        </w:tc>
      </w:tr>
    </w:tbl>
    <w:p>
      <w:pPr>
        <w:pStyle w:val="TextBody"/>
        <w:bidi w:val="0"/>
        <w:spacing w:before="0" w:after="0"/>
        <w:ind w:left="3" w:right="0" w:firstLine="687"/>
        <w:jc w:val="left"/>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COLLAZO)</w:t>
      </w:r>
    </w:p>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Known ___ OR Produced Identification X--</w:t>
      </w:r>
    </w:p>
    <w:p>
      <w:pPr>
        <w:pStyle w:val="TextBody"/>
        <w:bidi w:val="0"/>
        <w:spacing w:before="0" w:after="0"/>
        <w:ind w:left="4" w:right="0" w:hanging="0"/>
        <w:jc w:val="left"/>
        <w:rPr>
          <w:caps w:val="false"/>
          <w:smallCaps w:val="false"/>
        </w:rPr>
      </w:pPr>
      <w:r>
        <w:rPr>
          <w:caps w:val="false"/>
          <w:smallCaps w:val="false"/>
        </w:rPr>
        <w:t> </w:t>
      </w:r>
    </w:p>
    <w:p>
      <w:pPr>
        <w:pStyle w:val="TextBody"/>
        <w:bidi w:val="0"/>
        <w:spacing w:before="0" w:after="0"/>
        <w:ind w:left="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Identification Produced _</w:t>
      </w:r>
      <w:r>
        <w:rPr>
          <w:rFonts w:ascii="Times New Roman;Times;Serif" w:hAnsi="Times New Roman;Times;Serif"/>
          <w:b w:val="false"/>
          <w:i w:val="false"/>
          <w:caps w:val="false"/>
          <w:smallCaps w:val="false"/>
          <w:sz w:val="20"/>
          <w:u w:val="single"/>
        </w:rPr>
        <w:t>Passport</w:t>
      </w:r>
      <w:r>
        <w:rPr>
          <w:rFonts w:ascii="Times New Roman;Times;Serif" w:hAnsi="Times New Roman;Times;Serif"/>
          <w:b w:val="false"/>
          <w:i w:val="false"/>
          <w:caps w:val="false"/>
          <w:smallCaps w:val="false"/>
          <w:sz w:val="20"/>
        </w:rPr>
        <w:t>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14800" cy="1562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4114800" cy="15621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4311" TargetMode="External"/><Relationship Id="rId3" Type="http://schemas.openxmlformats.org/officeDocument/2006/relationships/hyperlink" Target="http://www.sec.gov/cgi-bin/browse-edgar?action=getcompany&amp;CIK=00018633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1222</Words>
  <Characters>6961</Characters>
  <CharactersWithSpaces>8145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