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jc w:val="center"/>
              <w:ind w:right="240"/>
              <w:spacing w:after="0"/>
              <w:rPr>
                <w:sz w:val="20"/>
                <w:szCs w:val="20"/>
                <w:color w:val="auto"/>
              </w:rPr>
            </w:pPr>
            <w:r>
              <w:rPr>
                <w:rFonts w:ascii="Arial" w:cs="Arial" w:eastAsia="Arial" w:hAnsi="Arial"/>
                <w:sz w:val="15"/>
                <w:szCs w:val="15"/>
                <w:color w:val="auto"/>
                <w:w w:val="98"/>
              </w:rPr>
              <w:t>1. Name and Address of Reporting Person</w:t>
            </w:r>
            <w:r>
              <w:rPr>
                <w:rFonts w:ascii="Arial" w:cs="Arial" w:eastAsia="Arial" w:hAnsi="Arial"/>
                <w:sz w:val="25"/>
                <w:szCs w:val="25"/>
                <w:color w:val="auto"/>
                <w:w w:val="98"/>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jc w:val="center"/>
              <w:ind w:right="260"/>
              <w:spacing w:after="0"/>
              <w:rPr>
                <w:rFonts w:ascii="Times New Roman" w:cs="Times New Roman" w:eastAsia="Times New Roman" w:hAnsi="Times New Roman"/>
                <w:sz w:val="24"/>
                <w:szCs w:val="24"/>
                <w:color w:val="0000EE"/>
                <w:w w:val="99"/>
              </w:rPr>
            </w:pPr>
            <w:hyperlink r:id="rId10">
              <w:r>
                <w:rPr>
                  <w:rFonts w:ascii="Times New Roman" w:cs="Times New Roman" w:eastAsia="Times New Roman" w:hAnsi="Times New Roman"/>
                  <w:sz w:val="24"/>
                  <w:szCs w:val="24"/>
                  <w:color w:val="0000EE"/>
                  <w:w w:val="99"/>
                </w:rPr>
                <w:t>Weinstein Nicolas Alexandre</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800" w:type="dxa"/>
            <w:vAlign w:val="bottom"/>
            <w:tcBorders>
              <w:top w:val="single" w:sz="8" w:color="0000EE"/>
              <w:bottom w:val="single" w:sz="8" w:color="9A9A9A"/>
            </w:tcBorders>
          </w:tcPr>
          <w:p>
            <w:pPr>
              <w:spacing w:after="0"/>
              <w:rPr>
                <w:sz w:val="17"/>
                <w:szCs w:val="17"/>
                <w:color w:val="auto"/>
              </w:rPr>
            </w:pPr>
          </w:p>
        </w:tc>
        <w:tc>
          <w:tcPr>
            <w:tcW w:w="26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03/18/2026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Sofgen Pharma S.A.</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PROC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18"/>
          <w:szCs w:val="18"/>
          <w:color w:val="0000FF"/>
        </w:rPr>
        <w:t>11600 MIRAMAR PARKWAY,</w:t>
      </w:r>
    </w:p>
    <w:p>
      <w:pPr>
        <w:spacing w:after="0" w:line="47"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SUITE 300</w:t>
      </w:r>
    </w:p>
    <w:p>
      <w:pPr>
        <w:spacing w:after="0" w:line="373"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680" w:type="dxa"/>
            <w:vAlign w:val="bottom"/>
          </w:tcPr>
          <w:p>
            <w:pPr>
              <w:spacing w:after="0"/>
              <w:rPr>
                <w:sz w:val="20"/>
                <w:szCs w:val="20"/>
                <w:color w:val="auto"/>
              </w:rPr>
            </w:pPr>
            <w:r>
              <w:rPr>
                <w:rFonts w:ascii="Arial" w:cs="Arial" w:eastAsia="Arial" w:hAnsi="Arial"/>
                <w:sz w:val="15"/>
                <w:szCs w:val="15"/>
                <w:color w:val="auto"/>
              </w:rPr>
              <w:t>(Street)</w:t>
            </w:r>
          </w:p>
        </w:tc>
        <w:tc>
          <w:tcPr>
            <w:tcW w:w="900" w:type="dxa"/>
            <w:vAlign w:val="bottom"/>
          </w:tcPr>
          <w:p>
            <w:pPr>
              <w:spacing w:after="0"/>
              <w:rPr>
                <w:sz w:val="17"/>
                <w:szCs w:val="17"/>
                <w:color w:val="auto"/>
              </w:rPr>
            </w:pPr>
          </w:p>
        </w:tc>
      </w:tr>
      <w:tr>
        <w:trPr>
          <w:trHeight w:val="265"/>
        </w:trPr>
        <w:tc>
          <w:tcPr>
            <w:tcW w:w="168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MIRAMAR FL</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33025</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5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8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See 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Freddy Andres Lozano</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03/18/2026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Reyes, 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780" w:type="dxa"/>
            <w:vAlign w:val="bottom"/>
            <w:tcBorders>
              <w:top w:val="single" w:sz="8" w:color="auto"/>
            </w:tcBorders>
          </w:tcPr>
          <w:p>
            <w:pPr>
              <w:spacing w:after="0"/>
              <w:rPr>
                <w:sz w:val="20"/>
                <w:szCs w:val="20"/>
                <w:color w:val="auto"/>
              </w:rPr>
            </w:pPr>
            <w:r>
              <w:rPr>
                <w:rFonts w:ascii="Arial" w:cs="Arial" w:eastAsia="Arial" w:hAnsi="Arial"/>
                <w:sz w:val="15"/>
                <w:szCs w:val="15"/>
                <w:color w:val="auto"/>
              </w:rPr>
              <w:t>** Signature of Reporting</w:t>
            </w:r>
          </w:p>
        </w:tc>
        <w:tc>
          <w:tcPr>
            <w:tcW w:w="400" w:type="dxa"/>
            <w:vAlign w:val="bottom"/>
            <w:gridSpan w:val="2"/>
          </w:tcPr>
          <w:p>
            <w:pPr>
              <w:spacing w:after="0"/>
              <w:rPr>
                <w:sz w:val="20"/>
                <w:szCs w:val="20"/>
                <w:color w:val="auto"/>
              </w:rPr>
            </w:pP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jc w:val="right"/>
        <w:spacing w:after="0"/>
        <w:rPr>
          <w:sz w:val="20"/>
          <w:szCs w:val="20"/>
          <w:color w:val="auto"/>
        </w:rPr>
      </w:pPr>
      <w:r>
        <w:rPr>
          <w:rFonts w:ascii="Times New Roman" w:cs="Times New Roman" w:eastAsia="Times New Roman" w:hAnsi="Times New Roman"/>
          <w:sz w:val="20"/>
          <w:szCs w:val="20"/>
          <w:b w:val="1"/>
          <w:bCs w:val="1"/>
          <w:color w:val="auto"/>
        </w:rPr>
        <w:t>Exhibit 24</w:t>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POWER OF ATTORNEY</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Mr. Nicolas A. Weinstein (the “</w:t>
      </w:r>
      <w:r>
        <w:rPr>
          <w:rFonts w:ascii="Times New Roman" w:cs="Times New Roman" w:eastAsia="Times New Roman" w:hAnsi="Times New Roman"/>
          <w:sz w:val="20"/>
          <w:szCs w:val="20"/>
          <w:b w:val="1"/>
          <w:bCs w:val="1"/>
          <w:color w:val="auto"/>
        </w:rPr>
        <w:t>Grantor</w:t>
      </w:r>
      <w:r>
        <w:rPr>
          <w:rFonts w:ascii="Times New Roman" w:cs="Times New Roman" w:eastAsia="Times New Roman" w:hAnsi="Times New Roman"/>
          <w:sz w:val="20"/>
          <w:szCs w:val="20"/>
          <w:color w:val="auto"/>
        </w:rPr>
        <w:t>”).</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20"/>
          <w:szCs w:val="20"/>
          <w:color w:val="auto"/>
        </w:rPr>
        <w:t xml:space="preserve">The Grantor is a director and/or officer (as defined in Rule 16(a) and/or 16a-1(f) under the Securities Exchange Act of 1934, as amended (the </w:t>
      </w:r>
      <w:r>
        <w:rPr>
          <w:rFonts w:ascii="Times New Roman" w:cs="Times New Roman" w:eastAsia="Times New Roman" w:hAnsi="Times New Roman"/>
          <w:sz w:val="20"/>
          <w:szCs w:val="20"/>
          <w:b w:val="1"/>
          <w:bCs w:val="1"/>
          <w:color w:val="auto"/>
        </w:rPr>
        <w:t>“Exchange Act”</w:t>
      </w:r>
      <w:r>
        <w:rPr>
          <w:rFonts w:ascii="Times New Roman" w:cs="Times New Roman" w:eastAsia="Times New Roman" w:hAnsi="Times New Roman"/>
          <w:sz w:val="20"/>
          <w:szCs w:val="20"/>
          <w:color w:val="auto"/>
        </w:rPr>
        <w:t>)) of Sofgen Pharma S.A., a public limited liability company (</w:t>
      </w:r>
      <w:r>
        <w:rPr>
          <w:rFonts w:ascii="Times New Roman" w:cs="Times New Roman" w:eastAsia="Times New Roman" w:hAnsi="Times New Roman"/>
          <w:sz w:val="20"/>
          <w:szCs w:val="20"/>
          <w:i w:val="1"/>
          <w:iCs w:val="1"/>
          <w:color w:val="auto"/>
        </w:rPr>
        <w:t>société anonyme</w:t>
      </w:r>
      <w:r>
        <w:rPr>
          <w:rFonts w:ascii="Times New Roman" w:cs="Times New Roman" w:eastAsia="Times New Roman" w:hAnsi="Times New Roman"/>
          <w:sz w:val="20"/>
          <w:szCs w:val="20"/>
          <w:color w:val="auto"/>
        </w:rPr>
        <w:t xml:space="preserve">) governed by the laws of the Grand Duchy of Luxembourg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w:t>
      </w:r>
    </w:p>
    <w:p>
      <w:pPr>
        <w:spacing w:after="0" w:line="19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0"/>
          <w:szCs w:val="20"/>
          <w:color w:val="auto"/>
        </w:rPr>
        <w:t>The Exchange Act and United States Securities and Exchange Commission (“</w:t>
      </w:r>
      <w:r>
        <w:rPr>
          <w:rFonts w:ascii="Times New Roman" w:cs="Times New Roman" w:eastAsia="Times New Roman" w:hAnsi="Times New Roman"/>
          <w:sz w:val="20"/>
          <w:szCs w:val="20"/>
          <w:b w:val="1"/>
          <w:bCs w:val="1"/>
          <w:color w:val="auto"/>
        </w:rPr>
        <w:t>SEC</w:t>
      </w:r>
      <w:r>
        <w:rPr>
          <w:rFonts w:ascii="Times New Roman" w:cs="Times New Roman" w:eastAsia="Times New Roman" w:hAnsi="Times New Roman"/>
          <w:sz w:val="20"/>
          <w:szCs w:val="20"/>
          <w:color w:val="auto"/>
        </w:rPr>
        <w:t>”) rules require the filing of beneficial ownership and transaction reports on SEC Forms 3, 4 and 5 (collectively, the “</w:t>
      </w:r>
      <w:r>
        <w:rPr>
          <w:rFonts w:ascii="Times New Roman" w:cs="Times New Roman" w:eastAsia="Times New Roman" w:hAnsi="Times New Roman"/>
          <w:sz w:val="20"/>
          <w:szCs w:val="20"/>
          <w:b w:val="1"/>
          <w:bCs w:val="1"/>
          <w:color w:val="auto"/>
        </w:rPr>
        <w:t>Section 16(a) Reports</w:t>
      </w:r>
      <w:r>
        <w:rPr>
          <w:rFonts w:ascii="Times New Roman" w:cs="Times New Roman" w:eastAsia="Times New Roman" w:hAnsi="Times New Roman"/>
          <w:sz w:val="20"/>
          <w:szCs w:val="20"/>
          <w:color w:val="auto"/>
        </w:rPr>
        <w:t>”). Such filings must be made electronically through the SEC’s EDGAR system (including EDGAR Next).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therefore grants a special power of attorney, as broad and sufficient as required by law, in favor of (the, the “</w:t>
      </w:r>
      <w:r>
        <w:rPr>
          <w:rFonts w:ascii="Times New Roman" w:cs="Times New Roman" w:eastAsia="Times New Roman" w:hAnsi="Times New Roman"/>
          <w:sz w:val="20"/>
          <w:szCs w:val="20"/>
          <w:b w:val="1"/>
          <w:bCs w:val="1"/>
          <w:color w:val="auto"/>
        </w:rPr>
        <w:t>Attorneys-in-</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Fact</w:t>
      </w:r>
      <w:r>
        <w:rPr>
          <w:rFonts w:ascii="Times New Roman" w:cs="Times New Roman" w:eastAsia="Times New Roman" w:hAnsi="Times New Roman"/>
          <w:sz w:val="20"/>
          <w:szCs w:val="20"/>
          <w:color w:val="auto"/>
        </w:rPr>
        <w:t>”):</w:t>
      </w:r>
    </w:p>
    <w:p>
      <w:pPr>
        <w:spacing w:after="0" w:line="230" w:lineRule="exact"/>
        <w:rPr>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María Alejandra Molina;</w:t>
      </w:r>
    </w:p>
    <w:p>
      <w:pPr>
        <w:spacing w:after="0" w:line="28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Freddy Lozano; and</w:t>
      </w:r>
    </w:p>
    <w:p>
      <w:pPr>
        <w:spacing w:after="0" w:line="280" w:lineRule="exact"/>
        <w:rPr>
          <w:rFonts w:ascii="Times New Roman" w:cs="Times New Roman" w:eastAsia="Times New Roman" w:hAnsi="Times New Roman"/>
          <w:sz w:val="20"/>
          <w:szCs w:val="20"/>
          <w:color w:val="auto"/>
        </w:rPr>
      </w:pPr>
    </w:p>
    <w:p>
      <w:pPr>
        <w:ind w:left="1440" w:hanging="359"/>
        <w:spacing w:after="0"/>
        <w:tabs>
          <w:tab w:leader="none" w:pos="1440" w:val="left"/>
        </w:tabs>
        <w:numPr>
          <w:ilvl w:val="0"/>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Carlos Carazo.</w:t>
      </w: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In order that any of them, individually, with full powers of substitution, may in the name and on behalf of the Grantor carry out the following acts:</w:t>
      </w:r>
    </w:p>
    <w:p>
      <w:pPr>
        <w:spacing w:after="0" w:line="176" w:lineRule="exact"/>
        <w:rPr>
          <w:sz w:val="20"/>
          <w:szCs w:val="20"/>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Obtain and manage EDGAR/EDGAR Next credentials and access.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56"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Apply for, obtain, maintain, renew, recover or update any identifiers, access codes, credentials, delegations, authorizations or similar items required for EDGAR/EDGAR Next filings, including, as applicable: (i) making any required submissions to the SEC (including on Form ID or any successor/related process), (ii) obtaining and maintaining the Grantor’s CIK and CIK Confirmation Code (CCC), and (iii) completing any EDGAR Next onboarding, delegation, or authorization workflows (including appointing and managing authorized users, administrators and/or delegates), and to execute any documents, certifications or acknowledgements required in connection therewith;</w:t>
      </w:r>
    </w:p>
    <w:p>
      <w:pPr>
        <w:spacing w:after="0" w:line="204"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Prepare and execute Section 16(a) Reports.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Prepare, complete, sign, execute, acknowledge and file with the SEC any and all Section 16(a) Reports relating to the Grantor’s beneficial ownership of and transactions in equity securities of the Company, including Forms 3, 4 and 5 and any amendments thereto (including amendments to correct errors or add omitted information), together with any exhibits or attachments required in connection therewith;</w:t>
      </w:r>
    </w:p>
    <w:p>
      <w:pPr>
        <w:spacing w:after="0" w:line="196"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Submit filings via EDGAR/EDGAR Next.</w:t>
      </w:r>
    </w:p>
    <w:p>
      <w:pPr>
        <w:spacing w:after="0" w:line="254" w:lineRule="exact"/>
        <w:rPr>
          <w:rFonts w:ascii="Times New Roman" w:cs="Times New Roman" w:eastAsia="Times New Roman" w:hAnsi="Times New Roman"/>
          <w:sz w:val="20"/>
          <w:szCs w:val="20"/>
          <w:b w:val="1"/>
          <w:bCs w:val="1"/>
          <w:color w:val="auto"/>
        </w:rPr>
      </w:pPr>
    </w:p>
    <w:p>
      <w:pPr>
        <w:ind w:left="720"/>
        <w:spacing w:after="0" w:line="282"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Submit, transmit and file (or cause to be filed) any Section 16(a) Reports through EDGAR/EDGAR Next, and take any and all actions necessary, advisable or appropriate to effect such filings in a timely manner;</w:t>
      </w:r>
    </w:p>
    <w:p>
      <w:pPr>
        <w:spacing w:after="0" w:line="175" w:lineRule="exact"/>
        <w:rPr>
          <w:rFonts w:ascii="Times New Roman" w:cs="Times New Roman" w:eastAsia="Times New Roman" w:hAnsi="Times New Roman"/>
          <w:sz w:val="20"/>
          <w:szCs w:val="20"/>
          <w:b w:val="1"/>
          <w:bCs w:val="1"/>
          <w:color w:val="auto"/>
        </w:rPr>
      </w:pPr>
    </w:p>
    <w:p>
      <w:pPr>
        <w:ind w:left="720" w:hanging="360"/>
        <w:spacing w:after="0"/>
        <w:tabs>
          <w:tab w:leader="none" w:pos="720" w:val="left"/>
        </w:tabs>
        <w:numPr>
          <w:ilvl w:val="0"/>
          <w:numId w:val="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Communications with SEC and service providers.</w:t>
      </w:r>
    </w:p>
    <w:p>
      <w:pPr>
        <w:spacing w:after="0" w:line="254" w:lineRule="exact"/>
        <w:rPr>
          <w:rFonts w:ascii="Times New Roman" w:cs="Times New Roman" w:eastAsia="Times New Roman" w:hAnsi="Times New Roman"/>
          <w:sz w:val="20"/>
          <w:szCs w:val="20"/>
          <w:b w:val="1"/>
          <w:bCs w:val="1"/>
          <w:color w:val="auto"/>
        </w:rPr>
      </w:pPr>
    </w:p>
    <w:p>
      <w:pPr>
        <w:jc w:val="both"/>
        <w:ind w:left="720"/>
        <w:spacing w:after="0" w:line="261"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Communicate with the SEC, the Company, and any third parties involved in Section 16(a) reporting and EDGAR filings (including the Company’s financial printers and filing agents, stock plan administrator, transfer agent, brokers, and outside counsel) as necessary or appropriate to obtain information, confirm holdings and transactions, resolve questions, and prepare and submit Section 16 Reports and related EDGAR items;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292100</wp:posOffset>
            </wp:positionV>
            <wp:extent cx="6946900"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115" w:right="479" w:bottom="1440" w:gutter="0" w:footer="0" w:header="0"/>
        </w:sectPr>
      </w:pPr>
    </w:p>
    <w:bookmarkStart w:id="2" w:name="page3"/>
    <w:bookmarkEnd w:id="2"/>
    <w:p>
      <w:pPr>
        <w:jc w:val="both"/>
        <w:ind w:left="720" w:right="20"/>
        <w:spacing w:after="0" w:line="258" w:lineRule="auto"/>
        <w:rPr>
          <w:sz w:val="20"/>
          <w:szCs w:val="20"/>
          <w:color w:val="auto"/>
        </w:rPr>
      </w:pPr>
      <w:r>
        <w:rPr>
          <w:rFonts w:ascii="Times New Roman" w:cs="Times New Roman" w:eastAsia="Times New Roman" w:hAnsi="Times New Roman"/>
          <w:sz w:val="20"/>
          <w:szCs w:val="20"/>
          <w:color w:val="auto"/>
        </w:rPr>
        <w:t>Seek, request and obtain, as the Grantor’s representative and on the Grantor’s behalf, information regarding the Grantor’s holdings of, and transactions in, the Company’s securities from any third party (including brokers, custodians, banks, employee benefit plan administrators, stock plan administrators and trustees, and the Company’s transfer agent), and the Grantor hereby authorizes any such person to release any such information to any Attorney-in-Fact (and approves and ratifies any such release) for purposes of preparing and filing the Section 16(a) Reports and related EDGAR/EDGAR Next items; and</w:t>
      </w:r>
    </w:p>
    <w:p>
      <w:pPr>
        <w:spacing w:after="0" w:line="201" w:lineRule="exact"/>
        <w:rPr>
          <w:sz w:val="20"/>
          <w:szCs w:val="20"/>
          <w:color w:val="auto"/>
        </w:rPr>
      </w:pPr>
    </w:p>
    <w:p>
      <w:pPr>
        <w:ind w:left="720" w:hanging="360"/>
        <w:spacing w:after="0"/>
        <w:tabs>
          <w:tab w:leader="none" w:pos="720" w:val="left"/>
        </w:tabs>
        <w:numPr>
          <w:ilvl w:val="0"/>
          <w:numId w:val="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Incidental actions.</w:t>
      </w:r>
    </w:p>
    <w:p>
      <w:pPr>
        <w:spacing w:after="0" w:line="254" w:lineRule="exact"/>
        <w:rPr>
          <w:sz w:val="20"/>
          <w:szCs w:val="20"/>
          <w:color w:val="auto"/>
        </w:rPr>
      </w:pPr>
    </w:p>
    <w:p>
      <w:pPr>
        <w:jc w:val="both"/>
        <w:ind w:left="720"/>
        <w:spacing w:after="0" w:line="266" w:lineRule="auto"/>
        <w:rPr>
          <w:sz w:val="20"/>
          <w:szCs w:val="20"/>
          <w:color w:val="auto"/>
        </w:rPr>
      </w:pPr>
      <w:r>
        <w:rPr>
          <w:rFonts w:ascii="Times New Roman" w:cs="Times New Roman" w:eastAsia="Times New Roman" w:hAnsi="Times New Roman"/>
          <w:sz w:val="20"/>
          <w:szCs w:val="20"/>
          <w:color w:val="auto"/>
        </w:rPr>
        <w:t>Carry out likewise whatever related or complementary actions are necessary for the complete fulfilment of the mandate received. Sign public and private documents required by the exercise of the faculties granted, including, if necessary, documents for correction of possible errors.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Grantor acknowledges and agrees that:</w:t>
      </w:r>
    </w:p>
    <w:p>
      <w:pPr>
        <w:spacing w:after="0" w:line="250" w:lineRule="exact"/>
        <w:rPr>
          <w:sz w:val="20"/>
          <w:szCs w:val="20"/>
          <w:color w:val="auto"/>
        </w:rPr>
      </w:pPr>
    </w:p>
    <w:p>
      <w:pPr>
        <w:ind w:left="1080" w:right="2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authorizes, but does not require, any Attorney-in-Fact to act, and each Attorney-in-Fact may act in his or her discretion on information provided to such Attorney-in-Fact without independent verification;</w:t>
      </w:r>
    </w:p>
    <w:p>
      <w:pPr>
        <w:spacing w:after="0" w:line="209" w:lineRule="exact"/>
        <w:rPr>
          <w:rFonts w:ascii="Times New Roman" w:cs="Times New Roman" w:eastAsia="Times New Roman" w:hAnsi="Times New Roman"/>
          <w:sz w:val="20"/>
          <w:szCs w:val="20"/>
          <w:color w:val="auto"/>
        </w:rPr>
      </w:pPr>
    </w:p>
    <w:p>
      <w:pPr>
        <w:jc w:val="both"/>
        <w:ind w:left="1080" w:hanging="360"/>
        <w:spacing w:after="0" w:line="266"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Section 16(a) Report or other document prepared, executed and/or filed by an Attorney-in-Fact on behalf of the Grantor pursuant to this power of attorney will be in such form and will contain such information and disclosure as such Attorney-in-Fact, in his or her discretion, deems necessary, advisable or appropriate;</w:t>
      </w:r>
    </w:p>
    <w:p>
      <w:pPr>
        <w:spacing w:after="0" w:line="225" w:lineRule="exact"/>
        <w:rPr>
          <w:rFonts w:ascii="Times New Roman" w:cs="Times New Roman" w:eastAsia="Times New Roman" w:hAnsi="Times New Roman"/>
          <w:sz w:val="20"/>
          <w:szCs w:val="20"/>
          <w:color w:val="auto"/>
        </w:rPr>
      </w:pPr>
    </w:p>
    <w:p>
      <w:pPr>
        <w:ind w:left="1080" w:right="2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power of attorney does not relieve the Grantor from responsibility for compliance with the Grantor’s obligations under the Exchange Act, including the reporting requirements under Section 16(a) and the rules and regulations thereunder; and</w:t>
      </w:r>
    </w:p>
    <w:p>
      <w:pPr>
        <w:spacing w:after="0" w:line="209" w:lineRule="exact"/>
        <w:rPr>
          <w:rFonts w:ascii="Times New Roman" w:cs="Times New Roman" w:eastAsia="Times New Roman" w:hAnsi="Times New Roman"/>
          <w:sz w:val="20"/>
          <w:szCs w:val="20"/>
          <w:color w:val="auto"/>
        </w:rPr>
      </w:pPr>
    </w:p>
    <w:p>
      <w:pPr>
        <w:ind w:left="1080" w:hanging="360"/>
        <w:spacing w:after="0" w:line="282" w:lineRule="auto"/>
        <w:tabs>
          <w:tab w:leader="none" w:pos="108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none of the Company or any Attorney-in-Fact assumes any liability for the Grantor’s responsibility to comply with the requirements of the Exchange Act or for any failure by the Grantor to comply with such requirements.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ectPr>
          <w:pgSz w:w="11900" w:h="16838" w:orient="portrait"/>
          <w:cols w:equalWidth="0" w:num="1">
            <w:col w:w="10940"/>
          </w:cols>
          <w:pgMar w:left="480" w:top="990" w:right="4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0"/>
          <w:szCs w:val="20"/>
          <w:color w:val="auto"/>
        </w:rPr>
        <w:t>IN WITNESS WHEREOF this power of attorney has been duly executed on March 6, 2026.</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All the pages of this power of attorney, from the first until this current page, are part of this Power of Attorney.</w:t>
      </w:r>
    </w:p>
    <w:p>
      <w:pPr>
        <w:spacing w:after="0" w:line="250"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Nicolas A. Weinstein</w:t>
      </w:r>
    </w:p>
    <w:p>
      <w:pPr>
        <w:spacing w:after="0" w:line="3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20"/>
          <w:szCs w:val="20"/>
          <w:color w:val="auto"/>
        </w:rPr>
        <w:t>/s/ Nicolas A. Weinstein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6350</wp:posOffset>
            </wp:positionV>
            <wp:extent cx="2496820"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96820" cy="19050"/>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STATE OF FLORIDA</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COUNTY OF MIAMI-DADE</w:t>
      </w:r>
    </w:p>
    <w:p>
      <w:pPr>
        <w:spacing w:after="0" w:line="24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20"/>
          <w:szCs w:val="20"/>
          <w:color w:val="auto"/>
        </w:rPr>
        <w:t>Sworn to and subscribed before me by means of [ ] physical presence or [x] online notarization, this 6 day of March 2026, by Nicolas A. Weinstein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ELIZABETH COLLAZO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(NOTARY SEAL) (Signature of Notary Public-State of Florida)</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(ELIZABETH COLLAZO)</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Personally Known __ OR Produced Identification X--</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Type of Identification Produced Passport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177800</wp:posOffset>
            </wp:positionV>
            <wp:extent cx="3611880" cy="1372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611880" cy="1372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6946900"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946900" cy="19050"/>
                    </a:xfrm>
                    <a:prstGeom prst="rect">
                      <a:avLst/>
                    </a:prstGeom>
                    <a:noFill/>
                  </pic:spPr>
                </pic:pic>
              </a:graphicData>
            </a:graphic>
          </wp:anchor>
        </w:drawing>
      </w:r>
    </w:p>
    <w:sectPr>
      <w:pgSz w:w="11900" w:h="16838" w:orient="portrait"/>
      <w:cols w:equalWidth="0" w:num="1">
        <w:col w:w="10940"/>
      </w:cols>
      <w:pgMar w:left="480" w:top="99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4"/>
    </w:lvl>
  </w:abstractNum>
  <w:abstractNum w:abstractNumId="1">
    <w:nsid w:val="238E1F29"/>
    <w:multiLevelType w:val="hybridMultilevel"/>
    <w:lvl w:ilvl="0">
      <w:lvlJc w:val="left"/>
      <w:lvlText w:val="%1."/>
      <w:numFmt w:val="decimal"/>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decimal"/>
      <w:start w:val="5"/>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jpeg"/><Relationship Id="rId17" Type="http://schemas.openxmlformats.org/officeDocument/2006/relationships/image" Target="media/image8.png"/><Relationship Id="rId10" Type="http://schemas.openxmlformats.org/officeDocument/2006/relationships/hyperlink" Target="http://www.sec.gov/cgi-bin/browse-edgar?action=getcompany&amp;CIK=0002121655" TargetMode="External"/><Relationship Id="rId11" Type="http://schemas.openxmlformats.org/officeDocument/2006/relationships/hyperlink" Target="http://www.sec.gov/cgi-bin/browse-edgar?action=getcompany&amp;CIK=00018633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2026-03-18T14:24:38Z</dcterms:created>
  <dcterms:modified xsi:type="dcterms:W3CDTF">2026-03-18T14:24:38Z</dcterms:modified>
</cp:coreProperties>
</file>